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90702" w14:textId="0D8B7F62" w:rsidR="004E03D7" w:rsidRPr="00CF6C0F" w:rsidRDefault="004E03D7" w:rsidP="007A6E03">
      <w:pPr>
        <w:pStyle w:val="berschrift1"/>
        <w:rPr>
          <w:bCs/>
          <w:color w:val="0095D5" w:themeColor="accent1"/>
          <w:lang w:val="en-US"/>
        </w:rPr>
      </w:pPr>
      <w:r w:rsidRPr="00CF6C0F">
        <w:rPr>
          <w:bCs/>
          <w:color w:val="0095D5" w:themeColor="accent1"/>
          <w:lang w:val="en-US"/>
        </w:rPr>
        <w:t xml:space="preserve">Sennheiser Group </w:t>
      </w:r>
      <w:r w:rsidR="00F029BC">
        <w:rPr>
          <w:bCs/>
          <w:color w:val="0095D5" w:themeColor="accent1"/>
          <w:lang w:val="en-US"/>
        </w:rPr>
        <w:t>demonstrates resilienc</w:t>
      </w:r>
      <w:r w:rsidR="00197D34">
        <w:rPr>
          <w:bCs/>
          <w:color w:val="0095D5" w:themeColor="accent1"/>
          <w:lang w:val="en-US"/>
        </w:rPr>
        <w:t>e</w:t>
      </w:r>
      <w:r w:rsidR="00C96836" w:rsidRPr="00CF6C0F">
        <w:rPr>
          <w:bCs/>
          <w:color w:val="0095D5" w:themeColor="accent1"/>
          <w:lang w:val="en-US"/>
        </w:rPr>
        <w:t xml:space="preserve"> </w:t>
      </w:r>
      <w:r w:rsidRPr="00CF6C0F">
        <w:rPr>
          <w:bCs/>
          <w:color w:val="0095D5" w:themeColor="accent1"/>
          <w:lang w:val="en-US"/>
        </w:rPr>
        <w:t xml:space="preserve">in </w:t>
      </w:r>
      <w:r w:rsidR="00F029BC">
        <w:rPr>
          <w:bCs/>
          <w:color w:val="0095D5" w:themeColor="accent1"/>
          <w:lang w:val="en-US"/>
        </w:rPr>
        <w:t>challenging</w:t>
      </w:r>
      <w:r w:rsidR="00F029BC" w:rsidRPr="00CF6C0F">
        <w:rPr>
          <w:bCs/>
          <w:color w:val="0095D5" w:themeColor="accent1"/>
          <w:lang w:val="en-US"/>
        </w:rPr>
        <w:t xml:space="preserve"> </w:t>
      </w:r>
      <w:r w:rsidR="00F029BC">
        <w:rPr>
          <w:bCs/>
          <w:color w:val="0095D5" w:themeColor="accent1"/>
          <w:lang w:val="en-US"/>
        </w:rPr>
        <w:t>m</w:t>
      </w:r>
      <w:r w:rsidR="00F029BC" w:rsidRPr="00CF6C0F">
        <w:rPr>
          <w:bCs/>
          <w:color w:val="0095D5" w:themeColor="accent1"/>
          <w:lang w:val="en-US"/>
        </w:rPr>
        <w:t xml:space="preserve">arket </w:t>
      </w:r>
      <w:r w:rsidR="00F029BC">
        <w:rPr>
          <w:bCs/>
          <w:color w:val="0095D5" w:themeColor="accent1"/>
          <w:lang w:val="en-US"/>
        </w:rPr>
        <w:t>e</w:t>
      </w:r>
      <w:r w:rsidR="00F029BC" w:rsidRPr="00CF6C0F">
        <w:rPr>
          <w:bCs/>
          <w:color w:val="0095D5" w:themeColor="accent1"/>
          <w:lang w:val="en-US"/>
        </w:rPr>
        <w:t>nvironment</w:t>
      </w:r>
    </w:p>
    <w:p w14:paraId="00BC6EEC" w14:textId="6B83709E" w:rsidR="00C35AC4" w:rsidRDefault="009F6F4E" w:rsidP="004E03D7">
      <w:pPr>
        <w:rPr>
          <w:b/>
          <w:szCs w:val="20"/>
          <w:lang w:val="en-US"/>
        </w:rPr>
      </w:pPr>
      <w:r w:rsidRPr="009F6F4E">
        <w:rPr>
          <w:b/>
          <w:szCs w:val="20"/>
          <w:lang w:val="en-US"/>
        </w:rPr>
        <w:t>The independent family-owned company generated revenue of €463.1 million in fiscal year 2025</w:t>
      </w:r>
    </w:p>
    <w:p w14:paraId="69673863" w14:textId="77777777" w:rsidR="009F6F4E" w:rsidRPr="00CF6C0F" w:rsidRDefault="009F6F4E" w:rsidP="004E03D7">
      <w:pPr>
        <w:rPr>
          <w:highlight w:val="yellow"/>
          <w:lang w:val="en-US"/>
        </w:rPr>
      </w:pPr>
    </w:p>
    <w:p w14:paraId="0FB57EC7" w14:textId="4450A88F" w:rsidR="00406FC9" w:rsidRPr="00CF6C0F" w:rsidRDefault="00406FC9" w:rsidP="00AB656D">
      <w:pPr>
        <w:pStyle w:val="berschrift1"/>
        <w:rPr>
          <w:bCs/>
          <w:lang w:val="en-US"/>
        </w:rPr>
      </w:pPr>
      <w:r w:rsidRPr="00CF6C0F">
        <w:rPr>
          <w:sz w:val="20"/>
          <w:szCs w:val="20"/>
          <w:lang w:val="en-US"/>
        </w:rPr>
        <w:t xml:space="preserve">Wedemark, </w:t>
      </w:r>
      <w:r w:rsidR="008B1A23" w:rsidRPr="00CF6C0F">
        <w:rPr>
          <w:sz w:val="20"/>
          <w:szCs w:val="20"/>
          <w:lang w:val="en-US"/>
        </w:rPr>
        <w:t>June</w:t>
      </w:r>
      <w:r w:rsidR="00FA0310" w:rsidRPr="00CF6C0F">
        <w:rPr>
          <w:sz w:val="20"/>
          <w:szCs w:val="20"/>
          <w:lang w:val="en-US"/>
        </w:rPr>
        <w:t xml:space="preserve"> 11</w:t>
      </w:r>
      <w:r w:rsidR="008B1A23" w:rsidRPr="00CF6C0F">
        <w:rPr>
          <w:sz w:val="20"/>
          <w:szCs w:val="20"/>
          <w:lang w:val="en-US"/>
        </w:rPr>
        <w:t xml:space="preserve">, 2026 </w:t>
      </w:r>
      <w:r w:rsidRPr="00CF6C0F">
        <w:rPr>
          <w:sz w:val="20"/>
          <w:szCs w:val="20"/>
          <w:lang w:val="en-US"/>
        </w:rPr>
        <w:t xml:space="preserve">– </w:t>
      </w:r>
      <w:r w:rsidR="001C2E60" w:rsidRPr="001C2E60">
        <w:rPr>
          <w:sz w:val="20"/>
          <w:szCs w:val="20"/>
          <w:lang w:val="en-US"/>
        </w:rPr>
        <w:t xml:space="preserve">The Sennheiser Group reported revenue of </w:t>
      </w:r>
      <w:r w:rsidR="001C2E60" w:rsidRPr="00102EA9">
        <w:rPr>
          <w:sz w:val="20"/>
          <w:szCs w:val="20"/>
          <w:lang w:val="en-US"/>
        </w:rPr>
        <w:t>€463.1</w:t>
      </w:r>
      <w:r w:rsidR="001C2E60" w:rsidRPr="001C2E60">
        <w:rPr>
          <w:sz w:val="20"/>
          <w:szCs w:val="20"/>
          <w:lang w:val="en-US"/>
        </w:rPr>
        <w:t xml:space="preserve"> million for fiscal year 2025.</w:t>
      </w:r>
      <w:r w:rsidR="001C2E60">
        <w:rPr>
          <w:sz w:val="20"/>
          <w:szCs w:val="20"/>
          <w:lang w:val="en-US"/>
        </w:rPr>
        <w:t xml:space="preserve"> </w:t>
      </w:r>
      <w:r w:rsidR="00FA4F1B" w:rsidRPr="00CF6C0F">
        <w:rPr>
          <w:sz w:val="20"/>
          <w:szCs w:val="20"/>
          <w:lang w:val="en-US"/>
        </w:rPr>
        <w:t xml:space="preserve">In an environment marked by ongoing global economic volatility, </w:t>
      </w:r>
      <w:r w:rsidR="00CF6C0F">
        <w:rPr>
          <w:sz w:val="20"/>
          <w:szCs w:val="20"/>
          <w:lang w:val="en-US"/>
        </w:rPr>
        <w:t>reduced</w:t>
      </w:r>
      <w:r w:rsidR="00FA4F1B" w:rsidRPr="00CF6C0F">
        <w:rPr>
          <w:sz w:val="20"/>
          <w:szCs w:val="20"/>
          <w:lang w:val="en-US"/>
        </w:rPr>
        <w:t xml:space="preserve"> demand, and intense competition, the independent family-owned company </w:t>
      </w:r>
      <w:r w:rsidR="004C3DF8">
        <w:rPr>
          <w:sz w:val="20"/>
          <w:szCs w:val="20"/>
          <w:lang w:val="en-US"/>
        </w:rPr>
        <w:t>remained resilient</w:t>
      </w:r>
      <w:r w:rsidR="00FA4F1B" w:rsidRPr="00CF6C0F">
        <w:rPr>
          <w:sz w:val="20"/>
          <w:szCs w:val="20"/>
          <w:lang w:val="en-US"/>
        </w:rPr>
        <w:t xml:space="preserve">: Sennheiser continued key strategic initiatives and maintained its long-term investments in research and development. </w:t>
      </w:r>
      <w:r w:rsidR="00D71F45" w:rsidRPr="00D71F45">
        <w:rPr>
          <w:sz w:val="20"/>
          <w:szCs w:val="20"/>
          <w:lang w:val="en-US"/>
        </w:rPr>
        <w:t>In addition, Spectera – the world’s first bidirectional, wireless broadband ecosystem – entered the delivery phase in 2025.</w:t>
      </w:r>
      <w:r w:rsidR="00D71F45">
        <w:rPr>
          <w:sz w:val="20"/>
          <w:szCs w:val="20"/>
          <w:lang w:val="en-US"/>
        </w:rPr>
        <w:t xml:space="preserve"> </w:t>
      </w:r>
      <w:r w:rsidR="00FA4F1B" w:rsidRPr="00CF6C0F">
        <w:rPr>
          <w:sz w:val="20"/>
          <w:szCs w:val="20"/>
          <w:lang w:val="en-US"/>
        </w:rPr>
        <w:t>Earnings before interest and taxes (EBIT) amounted to</w:t>
      </w:r>
      <w:r w:rsidR="00FA4F1B" w:rsidRPr="00102EA9">
        <w:rPr>
          <w:sz w:val="20"/>
          <w:szCs w:val="20"/>
          <w:lang w:val="en-US"/>
        </w:rPr>
        <w:t xml:space="preserve"> </w:t>
      </w:r>
      <w:r w:rsidR="00300856" w:rsidRPr="00102EA9">
        <w:rPr>
          <w:sz w:val="20"/>
          <w:szCs w:val="20"/>
          <w:lang w:val="en-US"/>
        </w:rPr>
        <w:t>€</w:t>
      </w:r>
      <w:r w:rsidR="00FA4F1B" w:rsidRPr="00102EA9">
        <w:rPr>
          <w:sz w:val="20"/>
          <w:szCs w:val="20"/>
          <w:lang w:val="en-US"/>
        </w:rPr>
        <w:t>19.</w:t>
      </w:r>
      <w:r w:rsidR="00945F31" w:rsidRPr="00102EA9">
        <w:rPr>
          <w:sz w:val="20"/>
          <w:szCs w:val="20"/>
          <w:lang w:val="en-US"/>
        </w:rPr>
        <w:t xml:space="preserve">4 </w:t>
      </w:r>
      <w:r w:rsidR="00FA4F1B" w:rsidRPr="00CF6C0F">
        <w:rPr>
          <w:sz w:val="20"/>
          <w:szCs w:val="20"/>
          <w:lang w:val="en-US"/>
        </w:rPr>
        <w:t>million.</w:t>
      </w:r>
    </w:p>
    <w:p w14:paraId="64E99129" w14:textId="7DFA54B0" w:rsidR="00003C1F" w:rsidRPr="00CF6C0F" w:rsidRDefault="00003C1F" w:rsidP="00406FC9">
      <w:pPr>
        <w:rPr>
          <w:lang w:val="en-US"/>
        </w:rPr>
      </w:pPr>
    </w:p>
    <w:p w14:paraId="1F079F6F" w14:textId="77777777" w:rsidR="00D479C8" w:rsidRDefault="001E4AFF" w:rsidP="003C5795">
      <w:pPr>
        <w:rPr>
          <w:lang w:val="en-US"/>
        </w:rPr>
      </w:pPr>
      <w:r w:rsidRPr="001E4AFF">
        <w:rPr>
          <w:lang w:val="en-US"/>
        </w:rPr>
        <w:t xml:space="preserve">The year 2025 was once again challenging from both an economic and geopolitical perspective,” says CEO Andreas Sennheiser. “We understood early on that the dynamics in our markets are not a temporary phase.” Overall, the Sennheiser Group recorded a moderate revenue decline of </w:t>
      </w:r>
      <w:r w:rsidRPr="00102EA9">
        <w:rPr>
          <w:lang w:val="en-US"/>
        </w:rPr>
        <w:t>5.9%</w:t>
      </w:r>
      <w:r w:rsidRPr="001E4AFF">
        <w:rPr>
          <w:lang w:val="en-US"/>
        </w:rPr>
        <w:t xml:space="preserve"> compared to the previous year. Daniel Sennheiser, Chairman of the Board of Directors of the Sennheiser Group since January 1, 2026, adds: “This made it </w:t>
      </w:r>
      <w:proofErr w:type="gramStart"/>
      <w:r w:rsidRPr="001E4AFF">
        <w:rPr>
          <w:lang w:val="en-US"/>
        </w:rPr>
        <w:t>all the more</w:t>
      </w:r>
      <w:proofErr w:type="gramEnd"/>
      <w:r w:rsidRPr="001E4AFF">
        <w:rPr>
          <w:lang w:val="en-US"/>
        </w:rPr>
        <w:t xml:space="preserve"> important for us to stay responsive, consistently drive our key projects forward and remain close to our customers. We were able to do so thanks to clear direction and the commitment of our teams worldwide – and this has laid important foundations for the future.”</w:t>
      </w:r>
    </w:p>
    <w:p w14:paraId="37B1397F" w14:textId="77777777" w:rsidR="00102EA9" w:rsidRDefault="00102EA9" w:rsidP="003C5795">
      <w:pPr>
        <w:rPr>
          <w:b/>
          <w:bCs/>
          <w:lang w:val="en-US"/>
        </w:rPr>
      </w:pPr>
    </w:p>
    <w:p w14:paraId="3CF2096C" w14:textId="481D355D" w:rsidR="005F30F8" w:rsidRPr="00CF6C0F" w:rsidRDefault="000676F5" w:rsidP="003C5795">
      <w:pPr>
        <w:rPr>
          <w:lang w:val="en-US"/>
        </w:rPr>
      </w:pPr>
      <w:r w:rsidRPr="00CF6C0F">
        <w:rPr>
          <w:b/>
          <w:bCs/>
          <w:lang w:val="en-US"/>
        </w:rPr>
        <w:t>Revenue Development by Region</w:t>
      </w:r>
    </w:p>
    <w:p w14:paraId="08C1C2D2" w14:textId="1ABED95D" w:rsidR="003C5795" w:rsidRPr="00CF6C0F" w:rsidRDefault="003C5795" w:rsidP="003C5795">
      <w:pPr>
        <w:rPr>
          <w:lang w:val="en-US"/>
        </w:rPr>
      </w:pPr>
      <w:r w:rsidRPr="00102EA9">
        <w:rPr>
          <w:lang w:val="en-US"/>
        </w:rPr>
        <w:t>The EMEA region wa</w:t>
      </w:r>
      <w:r w:rsidR="00CF6C0F" w:rsidRPr="00102EA9">
        <w:rPr>
          <w:lang w:val="en-US"/>
        </w:rPr>
        <w:t>s</w:t>
      </w:r>
      <w:r w:rsidRPr="00102EA9">
        <w:rPr>
          <w:lang w:val="en-US"/>
        </w:rPr>
        <w:t xml:space="preserve"> again the strongest market </w:t>
      </w:r>
      <w:r w:rsidR="00F7140D" w:rsidRPr="00102EA9">
        <w:rPr>
          <w:lang w:val="en-US"/>
        </w:rPr>
        <w:t>by revenue</w:t>
      </w:r>
      <w:r w:rsidRPr="00102EA9">
        <w:rPr>
          <w:lang w:val="en-US"/>
        </w:rPr>
        <w:t xml:space="preserve">, generating </w:t>
      </w:r>
      <w:r w:rsidR="00BC1D8D" w:rsidRPr="00102EA9">
        <w:rPr>
          <w:lang w:val="en-US"/>
        </w:rPr>
        <w:t>€</w:t>
      </w:r>
      <w:r w:rsidRPr="00102EA9">
        <w:rPr>
          <w:lang w:val="en-US"/>
        </w:rPr>
        <w:t>215.</w:t>
      </w:r>
      <w:r w:rsidR="00EF0421" w:rsidRPr="00102EA9">
        <w:rPr>
          <w:lang w:val="en-US"/>
        </w:rPr>
        <w:t>8</w:t>
      </w:r>
      <w:r w:rsidR="007F118E" w:rsidRPr="00102EA9">
        <w:rPr>
          <w:lang w:val="en-US"/>
        </w:rPr>
        <w:t xml:space="preserve"> </w:t>
      </w:r>
      <w:r w:rsidRPr="00102EA9">
        <w:rPr>
          <w:lang w:val="en-US"/>
        </w:rPr>
        <w:t>million. Compared to the previous year, this represents a decline of 7.</w:t>
      </w:r>
      <w:r w:rsidR="00EF0421" w:rsidRPr="00102EA9">
        <w:rPr>
          <w:lang w:val="en-US"/>
        </w:rPr>
        <w:t xml:space="preserve">0 </w:t>
      </w:r>
      <w:r w:rsidRPr="00102EA9">
        <w:rPr>
          <w:lang w:val="en-US"/>
        </w:rPr>
        <w:t xml:space="preserve">percent. </w:t>
      </w:r>
      <w:r w:rsidR="00494967" w:rsidRPr="00102EA9">
        <w:rPr>
          <w:lang w:val="en-US"/>
        </w:rPr>
        <w:t xml:space="preserve">The home market of Germany </w:t>
      </w:r>
      <w:r w:rsidR="000328B6" w:rsidRPr="00102EA9">
        <w:rPr>
          <w:lang w:val="en-US"/>
        </w:rPr>
        <w:t>recorded a decline of</w:t>
      </w:r>
      <w:r w:rsidR="00494967" w:rsidRPr="00102EA9">
        <w:rPr>
          <w:lang w:val="en-US"/>
        </w:rPr>
        <w:t xml:space="preserve"> 11.8 percent. </w:t>
      </w:r>
      <w:r w:rsidR="00CC7807" w:rsidRPr="00102EA9">
        <w:rPr>
          <w:lang w:val="en-US"/>
        </w:rPr>
        <w:t xml:space="preserve">This </w:t>
      </w:r>
      <w:r w:rsidRPr="00102EA9">
        <w:rPr>
          <w:lang w:val="en-US"/>
        </w:rPr>
        <w:t xml:space="preserve">was </w:t>
      </w:r>
      <w:r w:rsidR="00CC7807" w:rsidRPr="00102EA9">
        <w:rPr>
          <w:lang w:val="en-US"/>
        </w:rPr>
        <w:t xml:space="preserve">primarily </w:t>
      </w:r>
      <w:r w:rsidRPr="00102EA9">
        <w:rPr>
          <w:lang w:val="en-US"/>
        </w:rPr>
        <w:t xml:space="preserve">due to subdued demand resulting from the weak overall economic environment. In the AMERICAS region, revenue fell by 5.2 percent to </w:t>
      </w:r>
      <w:r w:rsidR="00BC1D8D" w:rsidRPr="00102EA9">
        <w:rPr>
          <w:lang w:val="en-US"/>
        </w:rPr>
        <w:t>€</w:t>
      </w:r>
      <w:r w:rsidRPr="00102EA9">
        <w:rPr>
          <w:lang w:val="en-US"/>
        </w:rPr>
        <w:t xml:space="preserve">142.6 million. </w:t>
      </w:r>
      <w:r w:rsidR="00E90EF2" w:rsidRPr="00102EA9">
        <w:rPr>
          <w:lang w:val="en-US"/>
        </w:rPr>
        <w:t xml:space="preserve">Cautious purchasing behavior in the U.S. market was influenced </w:t>
      </w:r>
      <w:proofErr w:type="gramStart"/>
      <w:r w:rsidR="00E90EF2" w:rsidRPr="00102EA9">
        <w:rPr>
          <w:lang w:val="en-US"/>
        </w:rPr>
        <w:t>in particular by</w:t>
      </w:r>
      <w:proofErr w:type="gramEnd"/>
      <w:r w:rsidR="00E90EF2" w:rsidRPr="00102EA9">
        <w:rPr>
          <w:lang w:val="en-US"/>
        </w:rPr>
        <w:t xml:space="preserve"> political conditions and economic uncertainty. </w:t>
      </w:r>
      <w:r w:rsidR="00F111B5" w:rsidRPr="00102EA9">
        <w:rPr>
          <w:lang w:val="en-US"/>
        </w:rPr>
        <w:t xml:space="preserve">With a share of around 30 percent of total revenue, the region remains a strategic core market for the Sennheiser Group. </w:t>
      </w:r>
      <w:r w:rsidRPr="00102EA9">
        <w:rPr>
          <w:lang w:val="en-US"/>
        </w:rPr>
        <w:t xml:space="preserve">The APAC region generated revenue of </w:t>
      </w:r>
      <w:r w:rsidR="00BC1D8D" w:rsidRPr="00102EA9">
        <w:rPr>
          <w:lang w:val="en-US"/>
        </w:rPr>
        <w:t>€</w:t>
      </w:r>
      <w:r w:rsidRPr="00102EA9">
        <w:rPr>
          <w:lang w:val="en-US"/>
        </w:rPr>
        <w:t>104.7 million, down 4.</w:t>
      </w:r>
      <w:r w:rsidR="00305214" w:rsidRPr="00102EA9">
        <w:rPr>
          <w:lang w:val="en-US"/>
        </w:rPr>
        <w:t xml:space="preserve">5 </w:t>
      </w:r>
      <w:r w:rsidRPr="00102EA9">
        <w:rPr>
          <w:lang w:val="en-US"/>
        </w:rPr>
        <w:t>percent from the previous year. India once again performed well, proving to be a significant growth market within the region.</w:t>
      </w:r>
    </w:p>
    <w:p w14:paraId="7A34B19E" w14:textId="77777777" w:rsidR="00406FC9" w:rsidRPr="00CF6C0F" w:rsidRDefault="00406FC9" w:rsidP="00406FC9">
      <w:pPr>
        <w:rPr>
          <w:lang w:val="en-US"/>
        </w:rPr>
      </w:pPr>
    </w:p>
    <w:p w14:paraId="485DC02A" w14:textId="16564265" w:rsidR="00CB7847" w:rsidRDefault="004954E1" w:rsidP="00406FC9">
      <w:pPr>
        <w:rPr>
          <w:lang w:val="en-US"/>
        </w:rPr>
      </w:pPr>
      <w:r w:rsidRPr="00CF6C0F">
        <w:rPr>
          <w:lang w:val="en-US"/>
        </w:rPr>
        <w:t xml:space="preserve">“Regional performance in fiscal year 2025 </w:t>
      </w:r>
      <w:r w:rsidR="0050514A" w:rsidRPr="0050514A">
        <w:rPr>
          <w:lang w:val="en-US"/>
        </w:rPr>
        <w:t>reflects the continued volatility of economic conditions worldwide</w:t>
      </w:r>
      <w:r w:rsidRPr="00CF6C0F">
        <w:rPr>
          <w:lang w:val="en-US"/>
        </w:rPr>
        <w:t xml:space="preserve">,” says </w:t>
      </w:r>
      <w:r w:rsidR="0080578B" w:rsidRPr="00CF6C0F">
        <w:rPr>
          <w:lang w:val="en-US"/>
        </w:rPr>
        <w:t xml:space="preserve">Daniel </w:t>
      </w:r>
      <w:r w:rsidRPr="00CF6C0F">
        <w:rPr>
          <w:lang w:val="en-US"/>
        </w:rPr>
        <w:t xml:space="preserve">Sennheiser. “Our international presence enables us to assess </w:t>
      </w:r>
      <w:r w:rsidR="00CF6C0F">
        <w:rPr>
          <w:lang w:val="en-US"/>
        </w:rPr>
        <w:t>each</w:t>
      </w:r>
      <w:r w:rsidRPr="00CF6C0F">
        <w:rPr>
          <w:lang w:val="en-US"/>
        </w:rPr>
        <w:t xml:space="preserve"> market dynamic in a nuanced way: Through our local teams, we understand the needs of our customers in each region and can respond to them in a targeted manner</w:t>
      </w:r>
      <w:r w:rsidR="006D1105" w:rsidRPr="00CF6C0F">
        <w:rPr>
          <w:lang w:val="en-US"/>
        </w:rPr>
        <w:t>.”</w:t>
      </w:r>
      <w:r w:rsidRPr="00CF6C0F">
        <w:rPr>
          <w:lang w:val="en-US"/>
        </w:rPr>
        <w:t xml:space="preserve"> </w:t>
      </w:r>
      <w:r w:rsidR="006D1105" w:rsidRPr="00CF6C0F">
        <w:rPr>
          <w:lang w:val="en-US"/>
        </w:rPr>
        <w:t xml:space="preserve">Andreas Sennheiser adds: </w:t>
      </w:r>
      <w:r w:rsidRPr="00CF6C0F">
        <w:rPr>
          <w:lang w:val="en-US"/>
        </w:rPr>
        <w:t xml:space="preserve">“In AMERICAS, we continue to see significant opportunities despite intense </w:t>
      </w:r>
      <w:r w:rsidRPr="00CF6C0F">
        <w:rPr>
          <w:lang w:val="en-US"/>
        </w:rPr>
        <w:lastRenderedPageBreak/>
        <w:t xml:space="preserve">competitive pressure, particularly in areas such as broadcast and immersive audio. In APAC, India demonstrates the potential </w:t>
      </w:r>
      <w:r w:rsidR="00633039" w:rsidRPr="00633039">
        <w:rPr>
          <w:lang w:val="en-US"/>
        </w:rPr>
        <w:t>that can arise from the increasing adoption of technology in universities, public institutions and corporate sites</w:t>
      </w:r>
      <w:r w:rsidR="00EC7E09" w:rsidRPr="00CF6C0F">
        <w:rPr>
          <w:lang w:val="en-US"/>
        </w:rPr>
        <w:t>.”</w:t>
      </w:r>
    </w:p>
    <w:p w14:paraId="29BC772B" w14:textId="77777777" w:rsidR="00102EA9" w:rsidRPr="00CF6C0F" w:rsidRDefault="00102EA9" w:rsidP="00406FC9">
      <w:pPr>
        <w:rPr>
          <w:lang w:val="en-US"/>
        </w:rPr>
      </w:pPr>
    </w:p>
    <w:p w14:paraId="6FBCFC7D" w14:textId="2DB12B88" w:rsidR="003C5795" w:rsidRPr="00CF6C0F" w:rsidRDefault="00636065" w:rsidP="00CE2E68">
      <w:pPr>
        <w:rPr>
          <w:b/>
          <w:bCs/>
          <w:lang w:val="en-US"/>
        </w:rPr>
      </w:pPr>
      <w:r w:rsidRPr="00CF6C0F">
        <w:rPr>
          <w:b/>
          <w:bCs/>
          <w:lang w:val="en-US"/>
        </w:rPr>
        <w:t xml:space="preserve">80 Years of Innovation and </w:t>
      </w:r>
      <w:r w:rsidR="003C5795" w:rsidRPr="00CF6C0F">
        <w:rPr>
          <w:b/>
          <w:bCs/>
          <w:lang w:val="en-US"/>
        </w:rPr>
        <w:t>Investment</w:t>
      </w:r>
      <w:r w:rsidR="00535229">
        <w:rPr>
          <w:b/>
          <w:bCs/>
          <w:lang w:val="en-US"/>
        </w:rPr>
        <w:t>s</w:t>
      </w:r>
      <w:r w:rsidR="003C5795" w:rsidRPr="00CF6C0F">
        <w:rPr>
          <w:b/>
          <w:bCs/>
          <w:lang w:val="en-US"/>
        </w:rPr>
        <w:t xml:space="preserve"> in the Future</w:t>
      </w:r>
    </w:p>
    <w:p w14:paraId="0E16CD69" w14:textId="18CC07E9" w:rsidR="00F01486" w:rsidRDefault="00E94FDF" w:rsidP="00F12465">
      <w:pPr>
        <w:rPr>
          <w:lang w:val="en-US"/>
        </w:rPr>
      </w:pPr>
      <w:r w:rsidRPr="00CF6C0F">
        <w:rPr>
          <w:lang w:val="en-US"/>
        </w:rPr>
        <w:t xml:space="preserve">In 2025, Sennheiser celebrated its 80th anniversary with a </w:t>
      </w:r>
      <w:r w:rsidR="00535229">
        <w:rPr>
          <w:lang w:val="en-US"/>
        </w:rPr>
        <w:t>wide range</w:t>
      </w:r>
      <w:r w:rsidRPr="00CF6C0F">
        <w:rPr>
          <w:lang w:val="en-US"/>
        </w:rPr>
        <w:t xml:space="preserve"> of activities throughout the year</w:t>
      </w:r>
      <w:r w:rsidR="00CF6C0F">
        <w:rPr>
          <w:lang w:val="en-US"/>
        </w:rPr>
        <w:t xml:space="preserve"> – including </w:t>
      </w:r>
      <w:r w:rsidRPr="00CF6C0F">
        <w:rPr>
          <w:lang w:val="en-US"/>
        </w:rPr>
        <w:t xml:space="preserve">internal events and a broad external campaign that highlighted what has defined the company since 1945: unique sound experiences and technological innovation. </w:t>
      </w:r>
      <w:r w:rsidR="0042610F">
        <w:rPr>
          <w:lang w:val="en-US"/>
        </w:rPr>
        <w:t>I</w:t>
      </w:r>
      <w:r w:rsidR="00B35F20" w:rsidRPr="00CF6C0F">
        <w:rPr>
          <w:lang w:val="en-US"/>
        </w:rPr>
        <w:t>n its anniversary year, Sennheiser continued to invest consistently in the future.</w:t>
      </w:r>
      <w:r w:rsidR="00F12465" w:rsidRPr="00CF6C0F">
        <w:rPr>
          <w:lang w:val="en-US"/>
        </w:rPr>
        <w:t xml:space="preserve"> Research and </w:t>
      </w:r>
      <w:r w:rsidR="00F12465" w:rsidRPr="00102EA9">
        <w:rPr>
          <w:lang w:val="en-US"/>
        </w:rPr>
        <w:t>development remained a central focus. In 2025, the Sennheiser Group invested</w:t>
      </w:r>
      <w:r w:rsidR="00816BB5" w:rsidRPr="00102EA9">
        <w:rPr>
          <w:lang w:val="en-US"/>
        </w:rPr>
        <w:t xml:space="preserve"> </w:t>
      </w:r>
      <w:r w:rsidR="00C9101B" w:rsidRPr="00102EA9">
        <w:rPr>
          <w:lang w:val="en-US"/>
        </w:rPr>
        <w:t>€</w:t>
      </w:r>
      <w:r w:rsidR="00816BB5" w:rsidRPr="00102EA9">
        <w:rPr>
          <w:lang w:val="en-US"/>
        </w:rPr>
        <w:t>48.1 million</w:t>
      </w:r>
      <w:r w:rsidR="00CF6C0F" w:rsidRPr="00102EA9">
        <w:rPr>
          <w:lang w:val="en-US"/>
        </w:rPr>
        <w:t xml:space="preserve">, again </w:t>
      </w:r>
      <w:r w:rsidR="00F02B50" w:rsidRPr="00102EA9">
        <w:rPr>
          <w:lang w:val="en-US"/>
        </w:rPr>
        <w:t xml:space="preserve">around </w:t>
      </w:r>
      <w:r w:rsidR="00890382" w:rsidRPr="00102EA9">
        <w:rPr>
          <w:lang w:val="en-US"/>
        </w:rPr>
        <w:t xml:space="preserve">ten </w:t>
      </w:r>
      <w:r w:rsidR="00F12465" w:rsidRPr="00102EA9">
        <w:rPr>
          <w:lang w:val="en-US"/>
        </w:rPr>
        <w:t>percent of its revenue</w:t>
      </w:r>
      <w:r w:rsidR="00CF6C0F" w:rsidRPr="00102EA9">
        <w:rPr>
          <w:lang w:val="en-US"/>
        </w:rPr>
        <w:t xml:space="preserve">, </w:t>
      </w:r>
      <w:r w:rsidR="00F12465" w:rsidRPr="00102EA9">
        <w:rPr>
          <w:lang w:val="en-US"/>
        </w:rPr>
        <w:t>in the further development of its product portfolio, in software solutions, and in the integration of hardware and services.</w:t>
      </w:r>
      <w:r w:rsidR="004C525A" w:rsidRPr="00102EA9">
        <w:rPr>
          <w:lang w:val="en-US"/>
        </w:rPr>
        <w:t xml:space="preserve"> </w:t>
      </w:r>
      <w:r w:rsidR="00825E18" w:rsidRPr="00102EA9">
        <w:rPr>
          <w:lang w:val="en-US"/>
        </w:rPr>
        <w:t>Around €5.8 million were also invested in the company’s own production sites in Germany and Romania. This underlines the company’s long-term commitment to innovation and organic growth, especially in economically challenging times.</w:t>
      </w:r>
    </w:p>
    <w:p w14:paraId="5FB575DB" w14:textId="77777777" w:rsidR="00102EA9" w:rsidRPr="00CF6C0F" w:rsidRDefault="00102EA9" w:rsidP="00F12465">
      <w:pPr>
        <w:rPr>
          <w:lang w:val="en-US"/>
        </w:rPr>
      </w:pPr>
    </w:p>
    <w:p w14:paraId="19CBA651" w14:textId="03BDBAEB" w:rsidR="00A87F4C" w:rsidRPr="00CF6C0F" w:rsidRDefault="009A083B" w:rsidP="00F12465">
      <w:pPr>
        <w:rPr>
          <w:lang w:val="en-US"/>
        </w:rPr>
      </w:pPr>
      <w:r w:rsidRPr="009A083B">
        <w:rPr>
          <w:lang w:val="en-US"/>
        </w:rPr>
        <w:t xml:space="preserve">One </w:t>
      </w:r>
      <w:proofErr w:type="gramStart"/>
      <w:r w:rsidRPr="009A083B">
        <w:rPr>
          <w:lang w:val="en-US"/>
        </w:rPr>
        <w:t>particular example</w:t>
      </w:r>
      <w:proofErr w:type="gramEnd"/>
      <w:r w:rsidRPr="009A083B">
        <w:rPr>
          <w:lang w:val="en-US"/>
        </w:rPr>
        <w:t xml:space="preserve"> of these long-term investments in research and development is Spectera.</w:t>
      </w:r>
      <w:r>
        <w:rPr>
          <w:lang w:val="en-US"/>
        </w:rPr>
        <w:t xml:space="preserve"> </w:t>
      </w:r>
      <w:r w:rsidR="00ED13D5" w:rsidRPr="00CF6C0F">
        <w:rPr>
          <w:lang w:val="en-US"/>
        </w:rPr>
        <w:t xml:space="preserve">The world’s first broadband, bidirectional wireless ecosystem was developed over more than ten years and began shipping in 2025. </w:t>
      </w:r>
      <w:r w:rsidR="009F4582" w:rsidRPr="00CF6C0F">
        <w:rPr>
          <w:lang w:val="en-US"/>
        </w:rPr>
        <w:t>“For us, Spectera is more than just a new product</w:t>
      </w:r>
      <w:r w:rsidR="00CF6C0F">
        <w:rPr>
          <w:lang w:val="en-US"/>
        </w:rPr>
        <w:t xml:space="preserve"> – it</w:t>
      </w:r>
      <w:r w:rsidR="00D25882">
        <w:rPr>
          <w:lang w:val="en-US"/>
        </w:rPr>
        <w:t xml:space="preserve"> i</w:t>
      </w:r>
      <w:r w:rsidR="00CF6C0F">
        <w:rPr>
          <w:lang w:val="en-US"/>
        </w:rPr>
        <w:t xml:space="preserve">s </w:t>
      </w:r>
      <w:r w:rsidR="009F4582" w:rsidRPr="00CF6C0F">
        <w:rPr>
          <w:lang w:val="en-US"/>
        </w:rPr>
        <w:t xml:space="preserve">a </w:t>
      </w:r>
      <w:r w:rsidR="00CF6C0F">
        <w:rPr>
          <w:lang w:val="en-US"/>
        </w:rPr>
        <w:t xml:space="preserve">whole </w:t>
      </w:r>
      <w:r w:rsidR="009F4582" w:rsidRPr="00CF6C0F">
        <w:rPr>
          <w:lang w:val="en-US"/>
        </w:rPr>
        <w:t>new approach,” says Andreas Sennheiser. “</w:t>
      </w:r>
      <w:r w:rsidR="003C25C2" w:rsidRPr="003C25C2">
        <w:rPr>
          <w:lang w:val="en-US"/>
        </w:rPr>
        <w:t xml:space="preserve">The ecosystem continues to </w:t>
      </w:r>
      <w:proofErr w:type="gramStart"/>
      <w:r w:rsidR="003C25C2" w:rsidRPr="003C25C2">
        <w:rPr>
          <w:lang w:val="en-US"/>
        </w:rPr>
        <w:t>evolve</w:t>
      </w:r>
      <w:r w:rsidR="003C25C2">
        <w:rPr>
          <w:lang w:val="en-US"/>
        </w:rPr>
        <w:t>:</w:t>
      </w:r>
      <w:proofErr w:type="gramEnd"/>
      <w:r w:rsidR="003C25C2" w:rsidRPr="003C25C2">
        <w:rPr>
          <w:lang w:val="en-US"/>
        </w:rPr>
        <w:t xml:space="preserve"> new functions can be added via software, and customer feedback flows directly into further development. This creates a completely new dynamic</w:t>
      </w:r>
      <w:r w:rsidR="009F4582" w:rsidRPr="00CF6C0F">
        <w:rPr>
          <w:lang w:val="en-US"/>
        </w:rPr>
        <w:t>.”</w:t>
      </w:r>
    </w:p>
    <w:p w14:paraId="24072782" w14:textId="77777777" w:rsidR="00ED13D5" w:rsidRPr="00CF6C0F" w:rsidRDefault="00ED13D5" w:rsidP="00F12465">
      <w:pPr>
        <w:rPr>
          <w:lang w:val="en-US"/>
        </w:rPr>
      </w:pPr>
    </w:p>
    <w:p w14:paraId="06B33AAA" w14:textId="5E3872AD" w:rsidR="00F12465" w:rsidRPr="00CF6C0F" w:rsidRDefault="00E129EA" w:rsidP="00F12465">
      <w:pPr>
        <w:rPr>
          <w:lang w:val="en-US"/>
        </w:rPr>
      </w:pPr>
      <w:r w:rsidRPr="00E129EA">
        <w:rPr>
          <w:lang w:val="en-US"/>
        </w:rPr>
        <w:t>At the same time, the Sennheiser Group continued to drive the digitalization and optimization of its business processes.</w:t>
      </w:r>
      <w:r>
        <w:rPr>
          <w:lang w:val="en-US"/>
        </w:rPr>
        <w:t xml:space="preserve"> </w:t>
      </w:r>
      <w:r w:rsidR="00F12465" w:rsidRPr="00CF6C0F">
        <w:rPr>
          <w:lang w:val="en-US"/>
        </w:rPr>
        <w:t xml:space="preserve">The focus was particularly on the further development of the digital value chain, new customer touchpoints, modern backend processes, and cloud </w:t>
      </w:r>
      <w:r w:rsidR="00CF6C0F" w:rsidRPr="00CF6C0F">
        <w:rPr>
          <w:lang w:val="en-US"/>
        </w:rPr>
        <w:t>architecture</w:t>
      </w:r>
      <w:r>
        <w:rPr>
          <w:lang w:val="en-US"/>
        </w:rPr>
        <w:t>s</w:t>
      </w:r>
      <w:r w:rsidR="00F12465" w:rsidRPr="00CF6C0F">
        <w:rPr>
          <w:lang w:val="en-US"/>
        </w:rPr>
        <w:t xml:space="preserve">. </w:t>
      </w:r>
      <w:r w:rsidR="00CF6C0F">
        <w:rPr>
          <w:lang w:val="en-US"/>
        </w:rPr>
        <w:t>P</w:t>
      </w:r>
      <w:r w:rsidR="00EA0FD5" w:rsidRPr="00CF6C0F">
        <w:rPr>
          <w:lang w:val="en-US"/>
        </w:rPr>
        <w:t xml:space="preserve">rogress </w:t>
      </w:r>
      <w:r w:rsidR="00F12465" w:rsidRPr="00CF6C0F">
        <w:rPr>
          <w:lang w:val="en-US"/>
        </w:rPr>
        <w:t xml:space="preserve">was also </w:t>
      </w:r>
      <w:r w:rsidR="00AF6C94" w:rsidRPr="00CF6C0F">
        <w:rPr>
          <w:lang w:val="en-US"/>
        </w:rPr>
        <w:t xml:space="preserve">made </w:t>
      </w:r>
      <w:r w:rsidR="00EA0FD5" w:rsidRPr="00CF6C0F">
        <w:rPr>
          <w:lang w:val="en-US"/>
        </w:rPr>
        <w:t xml:space="preserve">in terms of sustainability: </w:t>
      </w:r>
      <w:r w:rsidR="00F12465" w:rsidRPr="00CF6C0F">
        <w:rPr>
          <w:lang w:val="en-US"/>
        </w:rPr>
        <w:t xml:space="preserve">In 2025, Sennheiser introduced an energy management system in accordance with DIN EN ISO 50001 and </w:t>
      </w:r>
      <w:r w:rsidR="00C50429" w:rsidRPr="00C50429">
        <w:rPr>
          <w:lang w:val="en-US"/>
        </w:rPr>
        <w:t>continued to pursue the climate goals defined in its corporate strategy.</w:t>
      </w:r>
    </w:p>
    <w:p w14:paraId="5D7FFEBD" w14:textId="77777777" w:rsidR="00CE2E68" w:rsidRPr="00CF6C0F" w:rsidRDefault="00CE2E68" w:rsidP="00AA68B4">
      <w:pPr>
        <w:rPr>
          <w:b/>
          <w:bCs/>
          <w:lang w:val="en-US"/>
        </w:rPr>
      </w:pPr>
    </w:p>
    <w:p w14:paraId="3BC49031" w14:textId="5530E3B8" w:rsidR="00B014A2" w:rsidRPr="00CF6C0F" w:rsidRDefault="00B014A2" w:rsidP="00AA68B4">
      <w:pPr>
        <w:rPr>
          <w:b/>
          <w:bCs/>
          <w:lang w:val="en-US"/>
        </w:rPr>
      </w:pPr>
      <w:r w:rsidRPr="00CF6C0F">
        <w:rPr>
          <w:b/>
          <w:bCs/>
          <w:lang w:val="en-US"/>
        </w:rPr>
        <w:t>Successful Market Launches</w:t>
      </w:r>
    </w:p>
    <w:p w14:paraId="3F7606C5" w14:textId="14A28B51" w:rsidR="004C66AA" w:rsidRDefault="00FD4C57" w:rsidP="004C66AA">
      <w:pPr>
        <w:rPr>
          <w:lang w:val="en-US"/>
        </w:rPr>
      </w:pPr>
      <w:r w:rsidRPr="00FD4C57">
        <w:rPr>
          <w:lang w:val="en-US"/>
        </w:rPr>
        <w:t>The Sennheiser Group maintains its strategic focus on the professional audio solutions business</w:t>
      </w:r>
      <w:r>
        <w:rPr>
          <w:lang w:val="en-US"/>
        </w:rPr>
        <w:t xml:space="preserve">. </w:t>
      </w:r>
      <w:r w:rsidR="00864621" w:rsidRPr="00864621">
        <w:rPr>
          <w:lang w:val="en-US"/>
        </w:rPr>
        <w:t xml:space="preserve">This focus was also reflected in </w:t>
      </w:r>
      <w:proofErr w:type="gramStart"/>
      <w:r w:rsidR="00864621" w:rsidRPr="00864621">
        <w:rPr>
          <w:lang w:val="en-US"/>
        </w:rPr>
        <w:t>a number of</w:t>
      </w:r>
      <w:proofErr w:type="gramEnd"/>
      <w:r w:rsidR="00864621" w:rsidRPr="00864621">
        <w:rPr>
          <w:lang w:val="en-US"/>
        </w:rPr>
        <w:t xml:space="preserve"> successful </w:t>
      </w:r>
      <w:proofErr w:type="gramStart"/>
      <w:r w:rsidR="00864621" w:rsidRPr="00864621">
        <w:rPr>
          <w:lang w:val="en-US"/>
        </w:rPr>
        <w:t>market</w:t>
      </w:r>
      <w:proofErr w:type="gramEnd"/>
      <w:r w:rsidR="00864621" w:rsidRPr="00864621">
        <w:rPr>
          <w:lang w:val="en-US"/>
        </w:rPr>
        <w:t xml:space="preserve"> launches in 2025.</w:t>
      </w:r>
      <w:r w:rsidR="00A31FC9" w:rsidRPr="00CF6C0F">
        <w:rPr>
          <w:lang w:val="en-US"/>
        </w:rPr>
        <w:t xml:space="preserve"> </w:t>
      </w:r>
      <w:r w:rsidR="00E06C09" w:rsidRPr="00CF6C0F">
        <w:rPr>
          <w:lang w:val="en-US"/>
        </w:rPr>
        <w:t>In addition to the start of Spectera shipments</w:t>
      </w:r>
      <w:r w:rsidR="00F12465" w:rsidRPr="00CF6C0F">
        <w:rPr>
          <w:lang w:val="en-US"/>
        </w:rPr>
        <w:t>, other new products such as the MKH 8018 stereo shotgun microphone</w:t>
      </w:r>
      <w:r w:rsidR="00A04D18">
        <w:rPr>
          <w:lang w:val="en-US"/>
        </w:rPr>
        <w:t xml:space="preserve"> and</w:t>
      </w:r>
      <w:r w:rsidR="00F12465" w:rsidRPr="00CF6C0F">
        <w:rPr>
          <w:lang w:val="en-US"/>
        </w:rPr>
        <w:t xml:space="preserve"> enhancements to the EW-DX platform </w:t>
      </w:r>
      <w:r w:rsidR="00E06C09" w:rsidRPr="00CF6C0F">
        <w:rPr>
          <w:lang w:val="en-US"/>
        </w:rPr>
        <w:t xml:space="preserve">expanded </w:t>
      </w:r>
      <w:r w:rsidR="00F12465" w:rsidRPr="00CF6C0F">
        <w:rPr>
          <w:lang w:val="en-US"/>
        </w:rPr>
        <w:t>the portfolio.</w:t>
      </w:r>
      <w:r w:rsidR="00CF6764" w:rsidRPr="00CF6C0F">
        <w:rPr>
          <w:lang w:val="en-US"/>
        </w:rPr>
        <w:t xml:space="preserve"> </w:t>
      </w:r>
      <w:r w:rsidR="001A28CE" w:rsidRPr="00CF6C0F">
        <w:rPr>
          <w:lang w:val="en-US"/>
        </w:rPr>
        <w:t xml:space="preserve">With </w:t>
      </w:r>
      <w:r w:rsidR="00611B34" w:rsidRPr="00CF6C0F">
        <w:rPr>
          <w:lang w:val="en-US"/>
        </w:rPr>
        <w:t xml:space="preserve">the </w:t>
      </w:r>
      <w:r w:rsidR="001A28CE" w:rsidRPr="00CF6C0F">
        <w:rPr>
          <w:lang w:val="en-US"/>
        </w:rPr>
        <w:t xml:space="preserve">TeamConnect Ceiling Medium Ceiling Tile, Sennheiser </w:t>
      </w:r>
      <w:r w:rsidR="0002642C">
        <w:rPr>
          <w:lang w:val="en-US"/>
        </w:rPr>
        <w:t>complemented</w:t>
      </w:r>
      <w:r w:rsidR="001C119B" w:rsidRPr="00CF6C0F">
        <w:rPr>
          <w:lang w:val="en-US"/>
        </w:rPr>
        <w:t xml:space="preserve"> </w:t>
      </w:r>
      <w:r w:rsidR="001A28CE" w:rsidRPr="00CF6C0F">
        <w:rPr>
          <w:lang w:val="en-US"/>
        </w:rPr>
        <w:t xml:space="preserve">its </w:t>
      </w:r>
      <w:r w:rsidR="0002642C">
        <w:rPr>
          <w:lang w:val="en-US"/>
        </w:rPr>
        <w:t xml:space="preserve">product range </w:t>
      </w:r>
      <w:r w:rsidR="001A28CE" w:rsidRPr="00CF6C0F">
        <w:rPr>
          <w:lang w:val="en-US"/>
        </w:rPr>
        <w:t xml:space="preserve">for hybrid meeting environments. </w:t>
      </w:r>
      <w:r w:rsidR="00A82EC4" w:rsidRPr="00A82EC4">
        <w:rPr>
          <w:lang w:val="en-US"/>
        </w:rPr>
        <w:t>Strategic partnerships and platform-independent system solutions also expanded the range of possible applications worldwide.</w:t>
      </w:r>
    </w:p>
    <w:p w14:paraId="2774A8B2" w14:textId="77777777" w:rsidR="00A82EC4" w:rsidRPr="00CF6C0F" w:rsidRDefault="00A82EC4" w:rsidP="004C66AA">
      <w:pPr>
        <w:rPr>
          <w:lang w:val="en-US"/>
        </w:rPr>
      </w:pPr>
    </w:p>
    <w:p w14:paraId="1A971141" w14:textId="0A8DAEFE" w:rsidR="004C66AA" w:rsidRPr="00CF6C0F" w:rsidRDefault="004C66AA" w:rsidP="004C66AA">
      <w:pPr>
        <w:rPr>
          <w:lang w:val="en-US"/>
        </w:rPr>
      </w:pPr>
      <w:r w:rsidRPr="00CF6C0F">
        <w:rPr>
          <w:lang w:val="en-US"/>
        </w:rPr>
        <w:lastRenderedPageBreak/>
        <w:t xml:space="preserve">Neumann set new </w:t>
      </w:r>
      <w:r w:rsidR="00A82EC4">
        <w:rPr>
          <w:lang w:val="en-US"/>
        </w:rPr>
        <w:t>impulses</w:t>
      </w:r>
      <w:r w:rsidRPr="00CF6C0F">
        <w:rPr>
          <w:lang w:val="en-US"/>
        </w:rPr>
        <w:t xml:space="preserve"> in the field of immersive audio production: With RIME (Reference Immersive Monitoring Environment), Neumann offers a plug-in for </w:t>
      </w:r>
      <w:r w:rsidR="00A662F1" w:rsidRPr="00CF6C0F">
        <w:rPr>
          <w:lang w:val="en-US"/>
        </w:rPr>
        <w:t xml:space="preserve">immersive </w:t>
      </w:r>
      <w:r w:rsidRPr="00CF6C0F">
        <w:rPr>
          <w:lang w:val="en-US"/>
        </w:rPr>
        <w:t xml:space="preserve">monitoring and mixing in multichannel formats such as Dolby Atmos via headphones. VIS (Virtual Immersive Studio) </w:t>
      </w:r>
      <w:proofErr w:type="gramStart"/>
      <w:r w:rsidRPr="00CF6C0F">
        <w:rPr>
          <w:lang w:val="en-US"/>
        </w:rPr>
        <w:t>opens up</w:t>
      </w:r>
      <w:proofErr w:type="gramEnd"/>
      <w:r w:rsidRPr="00CF6C0F">
        <w:rPr>
          <w:lang w:val="en-US"/>
        </w:rPr>
        <w:t xml:space="preserve"> new possibilities for spatial mixing workflows in an AR environment. The solution is designed for Apple Vision Pro and </w:t>
      </w:r>
      <w:r w:rsidR="006A6905" w:rsidRPr="006A6905">
        <w:rPr>
          <w:lang w:val="en-US"/>
        </w:rPr>
        <w:t>enables intuitive control, for example, of Logic Pro on Mac.</w:t>
      </w:r>
    </w:p>
    <w:p w14:paraId="2048B9E0" w14:textId="77777777" w:rsidR="00E75E49" w:rsidRPr="00CF6C0F" w:rsidRDefault="00E75E49" w:rsidP="00094DF9">
      <w:pPr>
        <w:rPr>
          <w:b/>
          <w:bCs/>
          <w:lang w:val="en-US"/>
        </w:rPr>
      </w:pPr>
    </w:p>
    <w:p w14:paraId="6FB71BBF" w14:textId="5F64CC15" w:rsidR="00F12465" w:rsidRPr="00CF6C0F" w:rsidRDefault="00F12465" w:rsidP="00F12465">
      <w:pPr>
        <w:rPr>
          <w:lang w:val="en-US"/>
        </w:rPr>
      </w:pPr>
      <w:r w:rsidRPr="00CF6C0F">
        <w:rPr>
          <w:lang w:val="en-US"/>
        </w:rPr>
        <w:t xml:space="preserve">Sennheiser Mobility developed into a </w:t>
      </w:r>
      <w:r w:rsidR="009309C5" w:rsidRPr="00CF6C0F">
        <w:rPr>
          <w:lang w:val="en-US"/>
        </w:rPr>
        <w:t xml:space="preserve">particularly </w:t>
      </w:r>
      <w:r w:rsidRPr="00CF6C0F">
        <w:rPr>
          <w:lang w:val="en-US"/>
        </w:rPr>
        <w:t xml:space="preserve">dynamic </w:t>
      </w:r>
      <w:r w:rsidR="009309C5" w:rsidRPr="00CF6C0F">
        <w:rPr>
          <w:lang w:val="en-US"/>
        </w:rPr>
        <w:t xml:space="preserve">business </w:t>
      </w:r>
      <w:r w:rsidR="005F03E5">
        <w:rPr>
          <w:lang w:val="en-US"/>
        </w:rPr>
        <w:t>area</w:t>
      </w:r>
      <w:r w:rsidR="009309C5" w:rsidRPr="00CF6C0F">
        <w:rPr>
          <w:lang w:val="en-US"/>
        </w:rPr>
        <w:t xml:space="preserve"> </w:t>
      </w:r>
      <w:r w:rsidRPr="00CF6C0F">
        <w:rPr>
          <w:lang w:val="en-US"/>
        </w:rPr>
        <w:t xml:space="preserve">in 2025. </w:t>
      </w:r>
      <w:r w:rsidR="0002642C">
        <w:rPr>
          <w:lang w:val="en-US"/>
        </w:rPr>
        <w:t>G</w:t>
      </w:r>
      <w:r w:rsidRPr="00CF6C0F">
        <w:rPr>
          <w:lang w:val="en-US"/>
        </w:rPr>
        <w:t xml:space="preserve">rowth drivers included the expansion of the customer portfolio and successful product launches. Key milestones included the global launch of the Sennheiser Signature Sound System with AMBEO-based signal processing in the smart #5 Premium and #5 BRABUS models, the ongoing rollout of the smart #1, the introduction of the Morgan </w:t>
      </w:r>
      <w:proofErr w:type="spellStart"/>
      <w:r w:rsidRPr="00CF6C0F">
        <w:rPr>
          <w:lang w:val="en-US"/>
        </w:rPr>
        <w:t>Supersport</w:t>
      </w:r>
      <w:proofErr w:type="spellEnd"/>
      <w:r w:rsidR="003E3BA7" w:rsidRPr="00CF6C0F">
        <w:rPr>
          <w:lang w:val="en-US"/>
        </w:rPr>
        <w:t>, and the partnership with CUPRA</w:t>
      </w:r>
      <w:r w:rsidRPr="00CF6C0F">
        <w:rPr>
          <w:lang w:val="en-US"/>
        </w:rPr>
        <w:t>. In addition, the licensing business generated additional revenue.</w:t>
      </w:r>
    </w:p>
    <w:p w14:paraId="6E3CBF16" w14:textId="77777777" w:rsidR="00F12465" w:rsidRPr="00CF6C0F" w:rsidRDefault="00F12465" w:rsidP="00406FC9">
      <w:pPr>
        <w:rPr>
          <w:b/>
          <w:bCs/>
          <w:lang w:val="en-US"/>
        </w:rPr>
      </w:pPr>
    </w:p>
    <w:p w14:paraId="0EB0F662" w14:textId="2065E81F" w:rsidR="00406FC9" w:rsidRPr="00CF6C0F" w:rsidRDefault="0071518D" w:rsidP="00406FC9">
      <w:pPr>
        <w:rPr>
          <w:lang w:val="en-US"/>
        </w:rPr>
      </w:pPr>
      <w:r w:rsidRPr="00CF6C0F">
        <w:rPr>
          <w:b/>
          <w:bCs/>
          <w:lang w:val="en-US"/>
        </w:rPr>
        <w:t>Outlook</w:t>
      </w:r>
    </w:p>
    <w:p w14:paraId="1C51D157" w14:textId="303D7B85" w:rsidR="000142A2" w:rsidRDefault="00FC643E" w:rsidP="00F01486">
      <w:pPr>
        <w:rPr>
          <w:lang w:val="en-US"/>
        </w:rPr>
      </w:pPr>
      <w:r w:rsidRPr="00FC643E">
        <w:rPr>
          <w:lang w:val="en-US"/>
        </w:rPr>
        <w:t xml:space="preserve">The Sennheiser Group expects continued volatility for the current fiscal year. “We do not expect the economic and geopolitical environment to become any easier in the short term,” says Daniel Sennheiser. “This makes it </w:t>
      </w:r>
      <w:proofErr w:type="gramStart"/>
      <w:r w:rsidRPr="00FC643E">
        <w:rPr>
          <w:lang w:val="en-US"/>
        </w:rPr>
        <w:t>all the more</w:t>
      </w:r>
      <w:proofErr w:type="gramEnd"/>
      <w:r w:rsidRPr="00FC643E">
        <w:rPr>
          <w:lang w:val="en-US"/>
        </w:rPr>
        <w:t xml:space="preserve"> important to remain resilient and to act with a clear view ahead. As an independent family-owned company, we can make decisions with a long-term horizon – and thereby sustainably strengthen our future viability.”</w:t>
      </w:r>
    </w:p>
    <w:p w14:paraId="5A13E9FB" w14:textId="77777777" w:rsidR="00390E8C" w:rsidRPr="00390E8C" w:rsidRDefault="00390E8C" w:rsidP="00F01486">
      <w:pPr>
        <w:rPr>
          <w:lang w:val="en-US"/>
        </w:rPr>
      </w:pPr>
    </w:p>
    <w:p w14:paraId="4DE11472" w14:textId="5D878327" w:rsidR="00A94664" w:rsidRPr="00CF6C0F" w:rsidRDefault="00390E8C" w:rsidP="00406FC9">
      <w:pPr>
        <w:rPr>
          <w:lang w:val="en-US"/>
        </w:rPr>
      </w:pPr>
      <w:r w:rsidRPr="00390E8C">
        <w:rPr>
          <w:lang w:val="en-US"/>
        </w:rPr>
        <w:t xml:space="preserve">“One of these decisions was to bring together our previous Business Units Pro Audio and Business Communication at the beginning of 2026,” adds Andreas Sennheiser. “Today, our customers think primarily in terms of applications and workflows – and expect a simple, consistent experience across all touchpoints. With this step, we can develop and offer integrated solutions comprising hardware, software and services even more consistently from the customer’s perspective. In doing so, we are creating an important foundation for regaining strength in the market and </w:t>
      </w:r>
      <w:r>
        <w:rPr>
          <w:lang w:val="en-US"/>
        </w:rPr>
        <w:t>building</w:t>
      </w:r>
      <w:r w:rsidRPr="00390E8C">
        <w:rPr>
          <w:lang w:val="en-US"/>
        </w:rPr>
        <w:t xml:space="preserve"> the future of audio together with our customers.”</w:t>
      </w:r>
    </w:p>
    <w:p w14:paraId="5D30D44B" w14:textId="77777777" w:rsidR="00F479BA" w:rsidRPr="00CF6C0F" w:rsidRDefault="00F479BA" w:rsidP="00406FC9">
      <w:pPr>
        <w:rPr>
          <w:lang w:val="en-US"/>
        </w:rPr>
      </w:pPr>
    </w:p>
    <w:p w14:paraId="468D27C5" w14:textId="77777777" w:rsidR="00545A43" w:rsidRPr="00545A43" w:rsidRDefault="00545A43" w:rsidP="00545A43">
      <w:pPr>
        <w:spacing w:line="240" w:lineRule="auto"/>
        <w:rPr>
          <w:b/>
          <w:bCs/>
          <w:sz w:val="18"/>
          <w:szCs w:val="18"/>
          <w:lang w:val="en-US"/>
        </w:rPr>
      </w:pPr>
      <w:r w:rsidRPr="00545A43">
        <w:rPr>
          <w:b/>
          <w:bCs/>
          <w:sz w:val="18"/>
          <w:szCs w:val="18"/>
        </w:rPr>
        <w:t>About the Sennheiser Group</w:t>
      </w:r>
      <w:r w:rsidRPr="00545A43">
        <w:rPr>
          <w:b/>
          <w:bCs/>
          <w:sz w:val="18"/>
          <w:szCs w:val="18"/>
          <w:lang w:val="en-US"/>
        </w:rPr>
        <w:t> </w:t>
      </w:r>
    </w:p>
    <w:p w14:paraId="303B8C95" w14:textId="77777777" w:rsidR="00545A43" w:rsidRPr="00545A43" w:rsidRDefault="00545A43" w:rsidP="00545A43">
      <w:pPr>
        <w:spacing w:line="240" w:lineRule="auto"/>
        <w:rPr>
          <w:sz w:val="18"/>
          <w:szCs w:val="18"/>
          <w:lang w:val="en-US"/>
        </w:rPr>
      </w:pPr>
      <w:r w:rsidRPr="00545A43">
        <w:rPr>
          <w:sz w:val="18"/>
          <w:szCs w:val="18"/>
          <w:lang w:val="en-US"/>
        </w:rPr>
        <w:t> </w:t>
      </w:r>
    </w:p>
    <w:p w14:paraId="778CFCB4" w14:textId="77777777" w:rsidR="00545A43" w:rsidRPr="00545A43" w:rsidRDefault="00545A43" w:rsidP="00545A43">
      <w:pPr>
        <w:spacing w:line="240" w:lineRule="auto"/>
        <w:rPr>
          <w:sz w:val="18"/>
          <w:szCs w:val="18"/>
          <w:lang w:val="en-US"/>
        </w:rPr>
      </w:pPr>
      <w:r w:rsidRPr="00545A43">
        <w:rPr>
          <w:sz w:val="18"/>
          <w:szCs w:val="18"/>
          <w:lang w:val="en-US"/>
        </w:rPr>
        <w:t>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is one of the leading manufacturers in the field of professional audio technology.  </w:t>
      </w:r>
    </w:p>
    <w:p w14:paraId="76C777A7" w14:textId="77777777" w:rsidR="00545A43" w:rsidRPr="00545A43" w:rsidRDefault="00545A43" w:rsidP="00545A43">
      <w:pPr>
        <w:spacing w:line="240" w:lineRule="auto"/>
        <w:rPr>
          <w:sz w:val="18"/>
          <w:szCs w:val="18"/>
          <w:lang w:val="en-US"/>
        </w:rPr>
      </w:pPr>
      <w:r w:rsidRPr="00545A43">
        <w:rPr>
          <w:sz w:val="18"/>
          <w:szCs w:val="18"/>
          <w:lang w:val="en-US"/>
        </w:rPr>
        <w:t> </w:t>
      </w:r>
    </w:p>
    <w:p w14:paraId="5D464205" w14:textId="77777777" w:rsidR="00545A43" w:rsidRPr="00545A43" w:rsidRDefault="00545A43" w:rsidP="00545A43">
      <w:pPr>
        <w:spacing w:line="240" w:lineRule="auto"/>
        <w:rPr>
          <w:sz w:val="18"/>
          <w:szCs w:val="18"/>
          <w:lang w:val="en-US"/>
        </w:rPr>
      </w:pPr>
      <w:hyperlink r:id="rId10" w:tgtFrame="_blank" w:history="1">
        <w:r w:rsidRPr="00545A43">
          <w:rPr>
            <w:rStyle w:val="Hyperlink"/>
            <w:sz w:val="18"/>
            <w:szCs w:val="18"/>
            <w:lang w:val="en-US"/>
          </w:rPr>
          <w:t>sennheiser.com</w:t>
        </w:r>
      </w:hyperlink>
      <w:r w:rsidRPr="00545A43">
        <w:rPr>
          <w:sz w:val="18"/>
          <w:szCs w:val="18"/>
        </w:rPr>
        <w:t> | </w:t>
      </w:r>
      <w:hyperlink r:id="rId11" w:tgtFrame="_blank" w:history="1">
        <w:r w:rsidRPr="00545A43">
          <w:rPr>
            <w:rStyle w:val="Hyperlink"/>
            <w:sz w:val="18"/>
            <w:szCs w:val="18"/>
          </w:rPr>
          <w:t>neumann.com</w:t>
        </w:r>
      </w:hyperlink>
      <w:r w:rsidRPr="00545A43">
        <w:rPr>
          <w:sz w:val="18"/>
          <w:szCs w:val="18"/>
        </w:rPr>
        <w:t> |</w:t>
      </w:r>
      <w:r w:rsidRPr="00545A43">
        <w:rPr>
          <w:sz w:val="18"/>
          <w:szCs w:val="18"/>
          <w:u w:val="single"/>
        </w:rPr>
        <w:t> </w:t>
      </w:r>
      <w:hyperlink r:id="rId12" w:tgtFrame="_blank" w:history="1">
        <w:r w:rsidRPr="00545A43">
          <w:rPr>
            <w:rStyle w:val="Hyperlink"/>
            <w:sz w:val="18"/>
            <w:szCs w:val="18"/>
          </w:rPr>
          <w:t>merging.com</w:t>
        </w:r>
      </w:hyperlink>
      <w:r w:rsidRPr="00545A43">
        <w:rPr>
          <w:sz w:val="18"/>
          <w:szCs w:val="18"/>
          <w:lang w:val="en-US"/>
        </w:rPr>
        <w:t> </w:t>
      </w:r>
    </w:p>
    <w:p w14:paraId="1023A845" w14:textId="01DAEB9A" w:rsidR="008A2112" w:rsidRPr="00381464" w:rsidRDefault="008A2112" w:rsidP="00545A43">
      <w:pPr>
        <w:spacing w:line="240" w:lineRule="auto"/>
        <w:rPr>
          <w:lang w:val="en-US"/>
        </w:rPr>
      </w:pPr>
    </w:p>
    <w:sectPr w:rsidR="008A2112" w:rsidRPr="00381464" w:rsidSect="00727BEE">
      <w:headerReference w:type="default" r:id="rId13"/>
      <w:footerReference w:type="even" r:id="rId14"/>
      <w:footerReference w:type="default" r:id="rId15"/>
      <w:headerReference w:type="first" r:id="rId16"/>
      <w:footerReference w:type="first" r:id="rId17"/>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3799A" w14:textId="77777777" w:rsidR="008A45CF" w:rsidRDefault="008A45CF" w:rsidP="00CA1EB9">
      <w:pPr>
        <w:spacing w:line="240" w:lineRule="auto"/>
      </w:pPr>
      <w:r>
        <w:separator/>
      </w:r>
    </w:p>
  </w:endnote>
  <w:endnote w:type="continuationSeparator" w:id="0">
    <w:p w14:paraId="406F6C0F" w14:textId="77777777" w:rsidR="008A45CF" w:rsidRDefault="008A45CF" w:rsidP="00CA1EB9">
      <w:pPr>
        <w:spacing w:line="240" w:lineRule="auto"/>
      </w:pPr>
      <w:r>
        <w:continuationSeparator/>
      </w:r>
    </w:p>
  </w:endnote>
  <w:endnote w:type="continuationNotice" w:id="1">
    <w:p w14:paraId="19CCDD37" w14:textId="77777777" w:rsidR="008A45CF" w:rsidRDefault="008A45C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panose1 w:val="02010504010101010104"/>
    <w:charset w:val="00"/>
    <w:family w:val="auto"/>
    <w:pitch w:val="variable"/>
    <w:sig w:usb0="A00000AF" w:usb1="500020DB" w:usb2="00000000" w:usb3="00000000" w:csb0="00000093" w:csb1="00000000"/>
    <w:embedRegular r:id="rId1" w:fontKey="{FAEA596D-B7E4-4695-9045-D8643A1FD3A7}"/>
    <w:embedBold r:id="rId2" w:fontKey="{E20D7517-F017-48D9-99DD-53A5F3707376}"/>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E1E62B88-C0D4-499C-A6E5-2D6453BC99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B0B4C" w14:textId="77777777" w:rsidR="00D0543B" w:rsidRDefault="00D0543B">
    <w:pPr>
      <w:pStyle w:val="Fuzeile"/>
    </w:pPr>
    <w:r>
      <w:rPr>
        <w:noProof/>
      </w:rPr>
      <mc:AlternateContent>
        <mc:Choice Requires="wps">
          <w:drawing>
            <wp:anchor distT="0" distB="0" distL="0" distR="0" simplePos="0" relativeHeight="251658249" behindDoc="0" locked="0" layoutInCell="1" allowOverlap="1" wp14:anchorId="090ACDB6" wp14:editId="7E826900">
              <wp:simplePos x="635" y="635"/>
              <wp:positionH relativeFrom="page">
                <wp:align>center</wp:align>
              </wp:positionH>
              <wp:positionV relativeFrom="page">
                <wp:align>bottom</wp:align>
              </wp:positionV>
              <wp:extent cx="2934970" cy="393700"/>
              <wp:effectExtent l="0" t="0" r="17780" b="0"/>
              <wp:wrapNone/>
              <wp:docPr id="151021435"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93700"/>
                      </a:xfrm>
                      <a:prstGeom prst="rect">
                        <a:avLst/>
                      </a:prstGeom>
                      <a:noFill/>
                      <a:ln>
                        <a:noFill/>
                      </a:ln>
                    </wps:spPr>
                    <wps:txbx>
                      <w:txbxContent>
                        <w:p w14:paraId="03E6AEAE" w14:textId="77777777" w:rsidR="00D0543B" w:rsidRPr="00D0543B" w:rsidRDefault="00D0543B" w:rsidP="00D0543B">
                          <w:pPr>
                            <w:rPr>
                              <w:rFonts w:ascii="Calibri" w:eastAsia="Calibri" w:hAnsi="Calibri" w:cs="Calibri"/>
                              <w:noProof/>
                              <w:color w:val="000000"/>
                              <w:szCs w:val="20"/>
                            </w:rPr>
                          </w:pPr>
                          <w:r w:rsidRPr="00D0543B">
                            <w:rPr>
                              <w:rFonts w:ascii="Calibri" w:eastAsia="Calibri" w:hAnsi="Calibri" w:cs="Calibri"/>
                              <w:noProof/>
                              <w:color w:val="00000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0ACDB6" id="_x0000_t202" coordsize="21600,21600" o:spt="202" path="m,l,21600r21600,l21600,xe">
              <v:stroke joinstyle="miter"/>
              <v:path gradientshapeok="t" o:connecttype="rect"/>
            </v:shapetype>
            <v:shape id="Textfeld 2" o:spid="_x0000_s1026" type="#_x0000_t202" alt="Confidential - Not for Public Consumption or Distribution" style="position:absolute;margin-left:0;margin-top:0;width:231.1pt;height:31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nWDAIAABYEAAAOAAAAZHJzL2Uyb0RvYy54bWysU01v2zAMvQ/YfxB0X+wk29oYcYqsRYYB&#10;QVsgHXqWZSk2IImCpMTOfv0oxU62bqdhF5kmKX6897S867UiR+F8C6ak00lOiTAc6tbsS/r9ZfPh&#10;lhIfmKmZAiNKehKe3q3ev1t2thAzaEDVwhEsYnzR2ZI2IdgiyzxvhGZ+AlYYDEpwmgX8dfusdqzD&#10;6lplszz/nHXgauuAC+/R+3AO0lWqL6Xg4UlKLwJRJcXZQjpdOqt4ZqslK/aO2ablwxjsH6bQrDXY&#10;9FLqgQVGDq79o5RuuQMPMkw46AykbLlIO+A20/zNNruGWZF2QXC8vcDk/19Z/njc2WdHQv8FeiQw&#10;AtJZX3h0xn166XT84qQE4wjh6QKb6APh6Jwt5h8XNxjiGJsv5jd5wjW73rbOh68CNIlGSR3SktBi&#10;x60P2BFTx5TYzMCmVSpRo8xvDkyMnuw6YrRCX/XD3BXUJ1zHwZlpb/mmxZ5b5sMzc0gtjolyDU94&#10;SAVdSWGwKGnA/fibP+Yj4hilpEOplNSglilR3wwyEVU1Gm40qmRMF/knxIKYg74HFOAU34LlyUSv&#10;C2o0pQP9ikJex0YYYoZju5JWo3kfzprFh8DFep2SUECWha3ZWR5LR5wiiC/9K3N2QDogR48w6ogV&#10;bwA/58ab3q4PAWFPbERMz0AOUKP4EknDQ4nq/vU/ZV2f8+onAAAA//8DAFBLAwQUAAYACAAAACEA&#10;rCCErdsAAAAEAQAADwAAAGRycy9kb3ducmV2LnhtbEyPwU7DMBBE70j8g7VI3KiDCxEK2VSoEqci&#10;pLZcuLn2Nkkbr6PYadO/x3Chl5VGM5p5Wy4m14kTDaH1jPA4y0AQG29brhG+tu8PLyBC1Gx155kQ&#10;LhRgUd3elLqw/sxrOm1iLVIJh0IjNDH2hZTBNOR0mPmeOHl7PzgdkxxqaQd9TuWukyrLcul0y2mh&#10;0T0tGzLHzegQntfxY/zk7fx7UpfDql+a+X5lEO/vprdXEJGm+B+GX/yEDlVi2vmRbRAdQnok/t3k&#10;PeVKgdgh5CoDWZXyGr76AQAA//8DAFBLAQItABQABgAIAAAAIQC2gziS/gAAAOEBAAATAAAAAAAA&#10;AAAAAAAAAAAAAABbQ29udGVudF9UeXBlc10ueG1sUEsBAi0AFAAGAAgAAAAhADj9If/WAAAAlAEA&#10;AAsAAAAAAAAAAAAAAAAALwEAAF9yZWxzLy5yZWxzUEsBAi0AFAAGAAgAAAAhANrQKdYMAgAAFgQA&#10;AA4AAAAAAAAAAAAAAAAALgIAAGRycy9lMm9Eb2MueG1sUEsBAi0AFAAGAAgAAAAhAKwghK3bAAAA&#10;BAEAAA8AAAAAAAAAAAAAAAAAZgQAAGRycy9kb3ducmV2LnhtbFBLBQYAAAAABAAEAPMAAABuBQAA&#10;AAA=&#10;" filled="f" stroked="f">
              <v:textbox style="mso-fit-shape-to-text:t" inset="0,0,0,15pt">
                <w:txbxContent>
                  <w:p w14:paraId="03E6AEAE" w14:textId="77777777" w:rsidR="00D0543B" w:rsidRPr="00D0543B" w:rsidRDefault="00D0543B" w:rsidP="00D0543B">
                    <w:pPr>
                      <w:rPr>
                        <w:rFonts w:ascii="Calibri" w:eastAsia="Calibri" w:hAnsi="Calibri" w:cs="Calibri"/>
                        <w:noProof/>
                        <w:color w:val="000000"/>
                        <w:szCs w:val="20"/>
                      </w:rPr>
                    </w:pPr>
                    <w:r w:rsidRPr="00D0543B">
                      <w:rPr>
                        <w:rFonts w:ascii="Calibri" w:eastAsia="Calibri" w:hAnsi="Calibri" w:cs="Calibri"/>
                        <w:noProof/>
                        <w:color w:val="000000"/>
                        <w:szCs w:val="20"/>
                      </w:rPr>
                      <w:t>Confidential - Not for Public Consumption or Distribution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317B1" w14:textId="77777777" w:rsidR="00F1226E" w:rsidRDefault="003A5D79">
    <w:pPr>
      <w:pStyle w:val="Fuzeile"/>
    </w:pPr>
    <w:r>
      <w:rPr>
        <w:noProof/>
      </w:rPr>
      <w:drawing>
        <wp:anchor distT="0" distB="0" distL="114300" distR="114300" simplePos="0" relativeHeight="251658248" behindDoc="0" locked="1" layoutInCell="1" allowOverlap="1" wp14:anchorId="6C031371" wp14:editId="4D0DCC5D">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Pr>
        <w:noProof/>
      </w:rPr>
      <w:drawing>
        <wp:anchor distT="0" distB="0" distL="114300" distR="114300" simplePos="0" relativeHeight="251658245" behindDoc="0" locked="1" layoutInCell="1" allowOverlap="1" wp14:anchorId="2565DE6F" wp14:editId="50130936">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Pr>
        <w:noProof/>
      </w:rPr>
      <w:drawing>
        <wp:anchor distT="0" distB="0" distL="114300" distR="114300" simplePos="0" relativeHeight="251658244" behindDoc="0" locked="1" layoutInCell="1" allowOverlap="1" wp14:anchorId="05554200" wp14:editId="32D1A443">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Pr>
        <w:noProof/>
      </w:rPr>
      <w:drawing>
        <wp:anchor distT="0" distB="0" distL="114300" distR="114300" simplePos="0" relativeHeight="251658242" behindDoc="0" locked="1" layoutInCell="1" allowOverlap="1" wp14:anchorId="2F9762E7" wp14:editId="5DB9F31C">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075EB" w14:textId="77777777" w:rsidR="00F1226E" w:rsidRDefault="00BB6A08">
    <w:pPr>
      <w:pStyle w:val="Fuzeile"/>
    </w:pPr>
    <w:r>
      <w:rPr>
        <w:noProof/>
      </w:rPr>
      <w:drawing>
        <wp:anchor distT="0" distB="0" distL="114300" distR="114300" simplePos="0" relativeHeight="251658247" behindDoc="0" locked="0" layoutInCell="1" allowOverlap="1" wp14:anchorId="7EA90174" wp14:editId="34A9C62A">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Pr>
        <w:noProof/>
      </w:rPr>
      <w:drawing>
        <wp:anchor distT="0" distB="0" distL="114300" distR="114300" simplePos="0" relativeHeight="251658246" behindDoc="0" locked="1" layoutInCell="1" allowOverlap="1" wp14:anchorId="7023F905" wp14:editId="2F1524C3">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Pr>
        <w:noProof/>
      </w:rPr>
      <w:drawing>
        <wp:anchor distT="0" distB="0" distL="114300" distR="114300" simplePos="0" relativeHeight="251658243" behindDoc="0" locked="1" layoutInCell="1" allowOverlap="1" wp14:anchorId="59300EB3" wp14:editId="23B0DC45">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Pr>
        <w:noProof/>
      </w:rPr>
      <w:drawing>
        <wp:anchor distT="0" distB="0" distL="114300" distR="114300" simplePos="0" relativeHeight="251658241" behindDoc="0" locked="1" layoutInCell="1" allowOverlap="1" wp14:anchorId="52FF047A" wp14:editId="1C5BAC1E">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124EB" w14:textId="77777777" w:rsidR="008A45CF" w:rsidRDefault="008A45CF" w:rsidP="00CA1EB9">
      <w:pPr>
        <w:spacing w:line="240" w:lineRule="auto"/>
      </w:pPr>
      <w:r>
        <w:separator/>
      </w:r>
    </w:p>
  </w:footnote>
  <w:footnote w:type="continuationSeparator" w:id="0">
    <w:p w14:paraId="540A5423" w14:textId="77777777" w:rsidR="008A45CF" w:rsidRDefault="008A45CF" w:rsidP="00CA1EB9">
      <w:pPr>
        <w:spacing w:line="240" w:lineRule="auto"/>
      </w:pPr>
      <w:r>
        <w:continuationSeparator/>
      </w:r>
    </w:p>
  </w:footnote>
  <w:footnote w:type="continuationNotice" w:id="1">
    <w:p w14:paraId="6A1F7157" w14:textId="77777777" w:rsidR="008A45CF" w:rsidRDefault="008A45C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B312F" w14:textId="77777777" w:rsidR="00561C4F" w:rsidRDefault="00561C4F" w:rsidP="00561C4F">
    <w:pPr>
      <w:pStyle w:val="Kopfzeile"/>
      <w:ind w:right="-992"/>
    </w:pPr>
    <w:r>
      <w:rPr>
        <w:noProof/>
      </w:rPr>
      <w:drawing>
        <wp:anchor distT="0" distB="0" distL="114300" distR="114300" simplePos="0" relativeHeight="251658250" behindDoc="0" locked="1" layoutInCell="1" allowOverlap="1" wp14:anchorId="42C3D139" wp14:editId="6D3E45DB">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3C0022">
      <w:t xml:space="preserve"> </w:t>
    </w:r>
    <w:r w:rsidR="003C0022">
      <w:t>Press Release</w:t>
    </w:r>
    <w:r>
      <w:br/>
    </w:r>
    <w:r>
      <w:fldChar w:fldCharType="begin"/>
    </w:r>
    <w:r>
      <w:instrText xml:space="preserve"> PAGE   \* MERGEFORMAT </w:instrText>
    </w:r>
    <w:r>
      <w:fldChar w:fldCharType="separate"/>
    </w:r>
    <w:r>
      <w:t>1</w:t>
    </w:r>
    <w:r>
      <w:fldChar w:fldCharType="end"/>
    </w:r>
    <w:fldSimple w:instr=" NUMPAGES   \* MERGEFORMAT ">
      <w: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006C6" w14:textId="77777777" w:rsidR="00E85B68" w:rsidRDefault="00F35E7D" w:rsidP="00262791">
    <w:pPr>
      <w:pStyle w:val="Kopfzeile"/>
      <w:ind w:right="-992"/>
    </w:pPr>
    <w:r>
      <w:rPr>
        <w:noProof/>
      </w:rPr>
      <w:drawing>
        <wp:anchor distT="0" distB="0" distL="114300" distR="114300" simplePos="0" relativeHeight="251658240" behindDoc="0" locked="1" layoutInCell="1" allowOverlap="1" wp14:anchorId="41B0660B" wp14:editId="27478AEA">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t>Press Release</w:t>
    </w:r>
    <w:r w:rsidR="00882ED3">
      <w:br/>
    </w:r>
    <w:r w:rsidR="00E85B68">
      <w:fldChar w:fldCharType="begin"/>
    </w:r>
    <w:r w:rsidR="00E85B68">
      <w:instrText xml:space="preserve"> PAGE   \* MERGEFORMAT </w:instrText>
    </w:r>
    <w:r w:rsidR="00E85B68">
      <w:fldChar w:fldCharType="separate"/>
    </w:r>
    <w:r w:rsidR="00E85B68">
      <w:rPr>
        <w:noProof/>
      </w:rPr>
      <w:t>1</w:t>
    </w:r>
    <w:r w:rsidR="00E85B68">
      <w:fldChar w:fldCharType="end"/>
    </w:r>
    <w:fldSimple w:instr=" NUMPAGES   \* MERGEFORMAT ">
      <w:r w:rsidR="00E85B68">
        <w:rPr>
          <w:noProof/>
        </w:rPr>
        <w:t>/2</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466"/>
    <w:rsid w:val="000009DD"/>
    <w:rsid w:val="000020D6"/>
    <w:rsid w:val="00003C1F"/>
    <w:rsid w:val="00004E38"/>
    <w:rsid w:val="00005CC1"/>
    <w:rsid w:val="0001164A"/>
    <w:rsid w:val="000142A2"/>
    <w:rsid w:val="00014467"/>
    <w:rsid w:val="00020249"/>
    <w:rsid w:val="0002642C"/>
    <w:rsid w:val="00027570"/>
    <w:rsid w:val="000323C2"/>
    <w:rsid w:val="000328B6"/>
    <w:rsid w:val="00035742"/>
    <w:rsid w:val="0004071A"/>
    <w:rsid w:val="000437CE"/>
    <w:rsid w:val="00046652"/>
    <w:rsid w:val="00052A22"/>
    <w:rsid w:val="0006050C"/>
    <w:rsid w:val="00060A32"/>
    <w:rsid w:val="00061AA9"/>
    <w:rsid w:val="000676F5"/>
    <w:rsid w:val="000755E1"/>
    <w:rsid w:val="000764D5"/>
    <w:rsid w:val="00084739"/>
    <w:rsid w:val="00085732"/>
    <w:rsid w:val="00085D32"/>
    <w:rsid w:val="0009029E"/>
    <w:rsid w:val="000905E9"/>
    <w:rsid w:val="0009439A"/>
    <w:rsid w:val="00094DF9"/>
    <w:rsid w:val="0009776A"/>
    <w:rsid w:val="000A3627"/>
    <w:rsid w:val="000B3B45"/>
    <w:rsid w:val="000B7E2F"/>
    <w:rsid w:val="000C159B"/>
    <w:rsid w:val="000D2F47"/>
    <w:rsid w:val="000E0BF4"/>
    <w:rsid w:val="000E216A"/>
    <w:rsid w:val="000E236D"/>
    <w:rsid w:val="000E60ED"/>
    <w:rsid w:val="000F1ABF"/>
    <w:rsid w:val="000F2EBF"/>
    <w:rsid w:val="00102EA9"/>
    <w:rsid w:val="00112F75"/>
    <w:rsid w:val="00113B8F"/>
    <w:rsid w:val="00124017"/>
    <w:rsid w:val="00127A7A"/>
    <w:rsid w:val="00130979"/>
    <w:rsid w:val="0013161B"/>
    <w:rsid w:val="001346A8"/>
    <w:rsid w:val="0013707D"/>
    <w:rsid w:val="00140D98"/>
    <w:rsid w:val="00150445"/>
    <w:rsid w:val="00150ACA"/>
    <w:rsid w:val="0015142F"/>
    <w:rsid w:val="00157198"/>
    <w:rsid w:val="00161446"/>
    <w:rsid w:val="00161C4C"/>
    <w:rsid w:val="00162A64"/>
    <w:rsid w:val="0016435E"/>
    <w:rsid w:val="00166C7E"/>
    <w:rsid w:val="001716B9"/>
    <w:rsid w:val="00175129"/>
    <w:rsid w:val="0017602F"/>
    <w:rsid w:val="00177710"/>
    <w:rsid w:val="00185473"/>
    <w:rsid w:val="001913AC"/>
    <w:rsid w:val="00192059"/>
    <w:rsid w:val="001943DC"/>
    <w:rsid w:val="0019726E"/>
    <w:rsid w:val="00197299"/>
    <w:rsid w:val="00197D34"/>
    <w:rsid w:val="001A28CE"/>
    <w:rsid w:val="001A4071"/>
    <w:rsid w:val="001B09B2"/>
    <w:rsid w:val="001B2018"/>
    <w:rsid w:val="001B36F7"/>
    <w:rsid w:val="001B3ABC"/>
    <w:rsid w:val="001C119B"/>
    <w:rsid w:val="001C2E60"/>
    <w:rsid w:val="001C419B"/>
    <w:rsid w:val="001D2AEF"/>
    <w:rsid w:val="001D4E25"/>
    <w:rsid w:val="001D65C8"/>
    <w:rsid w:val="001E0506"/>
    <w:rsid w:val="001E4AFF"/>
    <w:rsid w:val="001F3C11"/>
    <w:rsid w:val="001F699D"/>
    <w:rsid w:val="001F7AAD"/>
    <w:rsid w:val="00201610"/>
    <w:rsid w:val="002061D8"/>
    <w:rsid w:val="00207B24"/>
    <w:rsid w:val="00207BC4"/>
    <w:rsid w:val="00216B39"/>
    <w:rsid w:val="00217AF5"/>
    <w:rsid w:val="00221F41"/>
    <w:rsid w:val="0022314E"/>
    <w:rsid w:val="002264D5"/>
    <w:rsid w:val="00226D0C"/>
    <w:rsid w:val="002363A0"/>
    <w:rsid w:val="00240FF0"/>
    <w:rsid w:val="00243C40"/>
    <w:rsid w:val="002442BC"/>
    <w:rsid w:val="002454C4"/>
    <w:rsid w:val="00247E64"/>
    <w:rsid w:val="00250A67"/>
    <w:rsid w:val="002520AA"/>
    <w:rsid w:val="00252483"/>
    <w:rsid w:val="00253355"/>
    <w:rsid w:val="002556F1"/>
    <w:rsid w:val="00261237"/>
    <w:rsid w:val="00262791"/>
    <w:rsid w:val="00267C4C"/>
    <w:rsid w:val="00271E59"/>
    <w:rsid w:val="002800C5"/>
    <w:rsid w:val="00286733"/>
    <w:rsid w:val="00290EBB"/>
    <w:rsid w:val="002925CA"/>
    <w:rsid w:val="00293345"/>
    <w:rsid w:val="002A1824"/>
    <w:rsid w:val="002B0FBD"/>
    <w:rsid w:val="002B25CB"/>
    <w:rsid w:val="002B6735"/>
    <w:rsid w:val="002B6EBB"/>
    <w:rsid w:val="002C2714"/>
    <w:rsid w:val="002C2BF1"/>
    <w:rsid w:val="002C3A1E"/>
    <w:rsid w:val="002C42CB"/>
    <w:rsid w:val="002C6F4D"/>
    <w:rsid w:val="002E3833"/>
    <w:rsid w:val="002F6B0D"/>
    <w:rsid w:val="00300856"/>
    <w:rsid w:val="00301829"/>
    <w:rsid w:val="00305214"/>
    <w:rsid w:val="00311462"/>
    <w:rsid w:val="00312AAD"/>
    <w:rsid w:val="003137D9"/>
    <w:rsid w:val="00323DB6"/>
    <w:rsid w:val="00324471"/>
    <w:rsid w:val="00324872"/>
    <w:rsid w:val="00327EB1"/>
    <w:rsid w:val="003363E9"/>
    <w:rsid w:val="00337B78"/>
    <w:rsid w:val="00340F12"/>
    <w:rsid w:val="0034522A"/>
    <w:rsid w:val="00356BB8"/>
    <w:rsid w:val="00357BC8"/>
    <w:rsid w:val="0036123C"/>
    <w:rsid w:val="00371D3A"/>
    <w:rsid w:val="003739E4"/>
    <w:rsid w:val="003746BB"/>
    <w:rsid w:val="00375ACD"/>
    <w:rsid w:val="0038082B"/>
    <w:rsid w:val="00381464"/>
    <w:rsid w:val="00387F8F"/>
    <w:rsid w:val="00390E8C"/>
    <w:rsid w:val="00392FD6"/>
    <w:rsid w:val="00397661"/>
    <w:rsid w:val="003A0D34"/>
    <w:rsid w:val="003A275A"/>
    <w:rsid w:val="003A34D5"/>
    <w:rsid w:val="003A5D79"/>
    <w:rsid w:val="003B023E"/>
    <w:rsid w:val="003B16F9"/>
    <w:rsid w:val="003B5122"/>
    <w:rsid w:val="003B7B5B"/>
    <w:rsid w:val="003C0022"/>
    <w:rsid w:val="003C02CF"/>
    <w:rsid w:val="003C25C2"/>
    <w:rsid w:val="003C4078"/>
    <w:rsid w:val="003C5795"/>
    <w:rsid w:val="003D03C5"/>
    <w:rsid w:val="003D2E7E"/>
    <w:rsid w:val="003D4B0A"/>
    <w:rsid w:val="003E301E"/>
    <w:rsid w:val="003E3BA7"/>
    <w:rsid w:val="003E502E"/>
    <w:rsid w:val="003F4326"/>
    <w:rsid w:val="003F74E2"/>
    <w:rsid w:val="00401818"/>
    <w:rsid w:val="004061EA"/>
    <w:rsid w:val="00406FC9"/>
    <w:rsid w:val="0041290B"/>
    <w:rsid w:val="00416F46"/>
    <w:rsid w:val="004235B4"/>
    <w:rsid w:val="0042610F"/>
    <w:rsid w:val="0042796E"/>
    <w:rsid w:val="0043586E"/>
    <w:rsid w:val="00435EB1"/>
    <w:rsid w:val="004375C5"/>
    <w:rsid w:val="00444C82"/>
    <w:rsid w:val="0045253F"/>
    <w:rsid w:val="00453B03"/>
    <w:rsid w:val="00454666"/>
    <w:rsid w:val="004554E5"/>
    <w:rsid w:val="0045599C"/>
    <w:rsid w:val="00457CB2"/>
    <w:rsid w:val="004656F0"/>
    <w:rsid w:val="0046616F"/>
    <w:rsid w:val="00471851"/>
    <w:rsid w:val="00472E79"/>
    <w:rsid w:val="00473794"/>
    <w:rsid w:val="00473C6F"/>
    <w:rsid w:val="00480602"/>
    <w:rsid w:val="00482447"/>
    <w:rsid w:val="00494967"/>
    <w:rsid w:val="004954E1"/>
    <w:rsid w:val="00496141"/>
    <w:rsid w:val="004A1776"/>
    <w:rsid w:val="004A50EB"/>
    <w:rsid w:val="004B2069"/>
    <w:rsid w:val="004B6C21"/>
    <w:rsid w:val="004C1D59"/>
    <w:rsid w:val="004C3DF8"/>
    <w:rsid w:val="004C40A5"/>
    <w:rsid w:val="004C525A"/>
    <w:rsid w:val="004C66AA"/>
    <w:rsid w:val="004D05BC"/>
    <w:rsid w:val="004D534F"/>
    <w:rsid w:val="004E03D7"/>
    <w:rsid w:val="004E0686"/>
    <w:rsid w:val="004E29BD"/>
    <w:rsid w:val="004F2DF2"/>
    <w:rsid w:val="00502D71"/>
    <w:rsid w:val="005032DA"/>
    <w:rsid w:val="0050514A"/>
    <w:rsid w:val="00506DB1"/>
    <w:rsid w:val="005070CA"/>
    <w:rsid w:val="005170AB"/>
    <w:rsid w:val="00526A77"/>
    <w:rsid w:val="005327DB"/>
    <w:rsid w:val="0053388C"/>
    <w:rsid w:val="00535229"/>
    <w:rsid w:val="00535988"/>
    <w:rsid w:val="00535DBE"/>
    <w:rsid w:val="0054230D"/>
    <w:rsid w:val="005424BC"/>
    <w:rsid w:val="00545A43"/>
    <w:rsid w:val="00554E27"/>
    <w:rsid w:val="00555949"/>
    <w:rsid w:val="005568F9"/>
    <w:rsid w:val="00557315"/>
    <w:rsid w:val="00561C4F"/>
    <w:rsid w:val="0056619F"/>
    <w:rsid w:val="005750E7"/>
    <w:rsid w:val="00577218"/>
    <w:rsid w:val="0058128B"/>
    <w:rsid w:val="005829EB"/>
    <w:rsid w:val="00583208"/>
    <w:rsid w:val="0058467E"/>
    <w:rsid w:val="005A376A"/>
    <w:rsid w:val="005A53FE"/>
    <w:rsid w:val="005A5C1E"/>
    <w:rsid w:val="005C6F49"/>
    <w:rsid w:val="005D05B0"/>
    <w:rsid w:val="005D571F"/>
    <w:rsid w:val="005E0690"/>
    <w:rsid w:val="005E3124"/>
    <w:rsid w:val="005E3FC4"/>
    <w:rsid w:val="005E6D27"/>
    <w:rsid w:val="005E7AA9"/>
    <w:rsid w:val="005F03E5"/>
    <w:rsid w:val="005F07CE"/>
    <w:rsid w:val="005F0D22"/>
    <w:rsid w:val="005F30F8"/>
    <w:rsid w:val="005F7D77"/>
    <w:rsid w:val="0060100B"/>
    <w:rsid w:val="00602B81"/>
    <w:rsid w:val="0061101F"/>
    <w:rsid w:val="00611B34"/>
    <w:rsid w:val="00612D6D"/>
    <w:rsid w:val="006175E4"/>
    <w:rsid w:val="0062427B"/>
    <w:rsid w:val="00624721"/>
    <w:rsid w:val="00625875"/>
    <w:rsid w:val="0062752E"/>
    <w:rsid w:val="0063118D"/>
    <w:rsid w:val="00633039"/>
    <w:rsid w:val="00633369"/>
    <w:rsid w:val="00636065"/>
    <w:rsid w:val="006403B7"/>
    <w:rsid w:val="006411FC"/>
    <w:rsid w:val="0064440F"/>
    <w:rsid w:val="006511B6"/>
    <w:rsid w:val="006535D7"/>
    <w:rsid w:val="006538BB"/>
    <w:rsid w:val="0065795B"/>
    <w:rsid w:val="00660473"/>
    <w:rsid w:val="00662E25"/>
    <w:rsid w:val="006653D0"/>
    <w:rsid w:val="0067166E"/>
    <w:rsid w:val="00675AD5"/>
    <w:rsid w:val="00677BEB"/>
    <w:rsid w:val="00680377"/>
    <w:rsid w:val="006851CD"/>
    <w:rsid w:val="00687CD5"/>
    <w:rsid w:val="00687F7D"/>
    <w:rsid w:val="006954FF"/>
    <w:rsid w:val="006A0D2F"/>
    <w:rsid w:val="006A6905"/>
    <w:rsid w:val="006B2AC2"/>
    <w:rsid w:val="006B4E64"/>
    <w:rsid w:val="006C4D45"/>
    <w:rsid w:val="006C5FBA"/>
    <w:rsid w:val="006C5FFF"/>
    <w:rsid w:val="006D1105"/>
    <w:rsid w:val="006D477A"/>
    <w:rsid w:val="006D4EB2"/>
    <w:rsid w:val="006D5DCD"/>
    <w:rsid w:val="006D656C"/>
    <w:rsid w:val="006D6889"/>
    <w:rsid w:val="006E1642"/>
    <w:rsid w:val="006E2475"/>
    <w:rsid w:val="006E2641"/>
    <w:rsid w:val="006E3585"/>
    <w:rsid w:val="006F0F24"/>
    <w:rsid w:val="006F2ED3"/>
    <w:rsid w:val="006F399C"/>
    <w:rsid w:val="006F442F"/>
    <w:rsid w:val="006F6C5B"/>
    <w:rsid w:val="0070102E"/>
    <w:rsid w:val="00702D7B"/>
    <w:rsid w:val="00702E55"/>
    <w:rsid w:val="007038E8"/>
    <w:rsid w:val="00703D3F"/>
    <w:rsid w:val="00705D04"/>
    <w:rsid w:val="00713A79"/>
    <w:rsid w:val="0071518D"/>
    <w:rsid w:val="00717618"/>
    <w:rsid w:val="007224BE"/>
    <w:rsid w:val="007231C2"/>
    <w:rsid w:val="00727BEE"/>
    <w:rsid w:val="00727FE0"/>
    <w:rsid w:val="007302AA"/>
    <w:rsid w:val="00736CBC"/>
    <w:rsid w:val="0074363C"/>
    <w:rsid w:val="00754C74"/>
    <w:rsid w:val="007604BC"/>
    <w:rsid w:val="007608C9"/>
    <w:rsid w:val="007612D3"/>
    <w:rsid w:val="00762E04"/>
    <w:rsid w:val="0077052B"/>
    <w:rsid w:val="00770799"/>
    <w:rsid w:val="00773551"/>
    <w:rsid w:val="00773688"/>
    <w:rsid w:val="00785A2E"/>
    <w:rsid w:val="00787811"/>
    <w:rsid w:val="007968F5"/>
    <w:rsid w:val="00797EFD"/>
    <w:rsid w:val="007A0EE8"/>
    <w:rsid w:val="007A1B13"/>
    <w:rsid w:val="007A34FB"/>
    <w:rsid w:val="007A469E"/>
    <w:rsid w:val="007A4C02"/>
    <w:rsid w:val="007A6E03"/>
    <w:rsid w:val="007B31EF"/>
    <w:rsid w:val="007B52E6"/>
    <w:rsid w:val="007C1122"/>
    <w:rsid w:val="007C2226"/>
    <w:rsid w:val="007C29BA"/>
    <w:rsid w:val="007C35DA"/>
    <w:rsid w:val="007C5237"/>
    <w:rsid w:val="007C54C3"/>
    <w:rsid w:val="007C6FE5"/>
    <w:rsid w:val="007C78ED"/>
    <w:rsid w:val="007D3CFD"/>
    <w:rsid w:val="007D51CE"/>
    <w:rsid w:val="007D6959"/>
    <w:rsid w:val="007D6B1A"/>
    <w:rsid w:val="007D7400"/>
    <w:rsid w:val="007D7890"/>
    <w:rsid w:val="007E09E7"/>
    <w:rsid w:val="007E5B49"/>
    <w:rsid w:val="007E6540"/>
    <w:rsid w:val="007E7CA0"/>
    <w:rsid w:val="007F041A"/>
    <w:rsid w:val="007F118E"/>
    <w:rsid w:val="007F572F"/>
    <w:rsid w:val="007F77F7"/>
    <w:rsid w:val="008037B7"/>
    <w:rsid w:val="0080578B"/>
    <w:rsid w:val="008065AD"/>
    <w:rsid w:val="008143DA"/>
    <w:rsid w:val="00816854"/>
    <w:rsid w:val="00816BB5"/>
    <w:rsid w:val="008179C1"/>
    <w:rsid w:val="00820874"/>
    <w:rsid w:val="00824529"/>
    <w:rsid w:val="008250CD"/>
    <w:rsid w:val="00825E18"/>
    <w:rsid w:val="00832D2E"/>
    <w:rsid w:val="008354CC"/>
    <w:rsid w:val="008368FD"/>
    <w:rsid w:val="008378CB"/>
    <w:rsid w:val="00840357"/>
    <w:rsid w:val="00840BF6"/>
    <w:rsid w:val="00843F0E"/>
    <w:rsid w:val="00851F80"/>
    <w:rsid w:val="008543F8"/>
    <w:rsid w:val="00857DD3"/>
    <w:rsid w:val="00863055"/>
    <w:rsid w:val="00864621"/>
    <w:rsid w:val="0087073C"/>
    <w:rsid w:val="008730F9"/>
    <w:rsid w:val="008745D1"/>
    <w:rsid w:val="00876605"/>
    <w:rsid w:val="008777EF"/>
    <w:rsid w:val="00882922"/>
    <w:rsid w:val="00882ED3"/>
    <w:rsid w:val="00884859"/>
    <w:rsid w:val="00890382"/>
    <w:rsid w:val="00895D91"/>
    <w:rsid w:val="008A08F0"/>
    <w:rsid w:val="008A2112"/>
    <w:rsid w:val="008A45CF"/>
    <w:rsid w:val="008A4B4B"/>
    <w:rsid w:val="008A5A6E"/>
    <w:rsid w:val="008A6DF6"/>
    <w:rsid w:val="008B1A23"/>
    <w:rsid w:val="008C0B7A"/>
    <w:rsid w:val="008C23A4"/>
    <w:rsid w:val="008C2893"/>
    <w:rsid w:val="008C3005"/>
    <w:rsid w:val="008D1AB2"/>
    <w:rsid w:val="008D2395"/>
    <w:rsid w:val="008D2EAA"/>
    <w:rsid w:val="008D4D71"/>
    <w:rsid w:val="008D5543"/>
    <w:rsid w:val="008E3708"/>
    <w:rsid w:val="008E5EF4"/>
    <w:rsid w:val="008E688B"/>
    <w:rsid w:val="00902378"/>
    <w:rsid w:val="00904AFF"/>
    <w:rsid w:val="00907104"/>
    <w:rsid w:val="00907705"/>
    <w:rsid w:val="00907F12"/>
    <w:rsid w:val="0091299E"/>
    <w:rsid w:val="00913461"/>
    <w:rsid w:val="00920FF6"/>
    <w:rsid w:val="0092399E"/>
    <w:rsid w:val="009302B0"/>
    <w:rsid w:val="009309C5"/>
    <w:rsid w:val="00931F5E"/>
    <w:rsid w:val="00932B77"/>
    <w:rsid w:val="00934E15"/>
    <w:rsid w:val="00945173"/>
    <w:rsid w:val="00945F31"/>
    <w:rsid w:val="00960961"/>
    <w:rsid w:val="00965A3F"/>
    <w:rsid w:val="00967EBA"/>
    <w:rsid w:val="00973509"/>
    <w:rsid w:val="00976EF1"/>
    <w:rsid w:val="00977493"/>
    <w:rsid w:val="00982061"/>
    <w:rsid w:val="00984AE1"/>
    <w:rsid w:val="00991178"/>
    <w:rsid w:val="009A083B"/>
    <w:rsid w:val="009A147B"/>
    <w:rsid w:val="009A27DF"/>
    <w:rsid w:val="009A528D"/>
    <w:rsid w:val="009B09BD"/>
    <w:rsid w:val="009B53BA"/>
    <w:rsid w:val="009B5EEA"/>
    <w:rsid w:val="009C0F6A"/>
    <w:rsid w:val="009C1506"/>
    <w:rsid w:val="009C1FE1"/>
    <w:rsid w:val="009D54C5"/>
    <w:rsid w:val="009D6743"/>
    <w:rsid w:val="009D6AD5"/>
    <w:rsid w:val="009E3C05"/>
    <w:rsid w:val="009E46A2"/>
    <w:rsid w:val="009E48B0"/>
    <w:rsid w:val="009E7458"/>
    <w:rsid w:val="009F19F2"/>
    <w:rsid w:val="009F23EF"/>
    <w:rsid w:val="009F2C50"/>
    <w:rsid w:val="009F4038"/>
    <w:rsid w:val="009F4582"/>
    <w:rsid w:val="009F6997"/>
    <w:rsid w:val="009F6F4E"/>
    <w:rsid w:val="00A022C5"/>
    <w:rsid w:val="00A023A1"/>
    <w:rsid w:val="00A02C4F"/>
    <w:rsid w:val="00A04D18"/>
    <w:rsid w:val="00A10065"/>
    <w:rsid w:val="00A12DC0"/>
    <w:rsid w:val="00A12E20"/>
    <w:rsid w:val="00A2044B"/>
    <w:rsid w:val="00A24B47"/>
    <w:rsid w:val="00A31FC9"/>
    <w:rsid w:val="00A326B9"/>
    <w:rsid w:val="00A37646"/>
    <w:rsid w:val="00A431BB"/>
    <w:rsid w:val="00A55BEF"/>
    <w:rsid w:val="00A56170"/>
    <w:rsid w:val="00A64A74"/>
    <w:rsid w:val="00A662F1"/>
    <w:rsid w:val="00A75E56"/>
    <w:rsid w:val="00A76015"/>
    <w:rsid w:val="00A76B80"/>
    <w:rsid w:val="00A81B5D"/>
    <w:rsid w:val="00A82EC4"/>
    <w:rsid w:val="00A84660"/>
    <w:rsid w:val="00A87F4C"/>
    <w:rsid w:val="00A91FD3"/>
    <w:rsid w:val="00A94664"/>
    <w:rsid w:val="00A953CB"/>
    <w:rsid w:val="00A9660E"/>
    <w:rsid w:val="00AA2214"/>
    <w:rsid w:val="00AA2B67"/>
    <w:rsid w:val="00AA3F1A"/>
    <w:rsid w:val="00AA6245"/>
    <w:rsid w:val="00AA68B4"/>
    <w:rsid w:val="00AB093D"/>
    <w:rsid w:val="00AB3230"/>
    <w:rsid w:val="00AB48ED"/>
    <w:rsid w:val="00AB5767"/>
    <w:rsid w:val="00AB6333"/>
    <w:rsid w:val="00AB656D"/>
    <w:rsid w:val="00AC1F71"/>
    <w:rsid w:val="00AC629A"/>
    <w:rsid w:val="00AD00F3"/>
    <w:rsid w:val="00AD20D2"/>
    <w:rsid w:val="00AD629B"/>
    <w:rsid w:val="00AE032F"/>
    <w:rsid w:val="00AE0EF3"/>
    <w:rsid w:val="00AE1DE6"/>
    <w:rsid w:val="00AE2057"/>
    <w:rsid w:val="00AF09CF"/>
    <w:rsid w:val="00AF0E1D"/>
    <w:rsid w:val="00AF41A2"/>
    <w:rsid w:val="00AF6C94"/>
    <w:rsid w:val="00B00684"/>
    <w:rsid w:val="00B014A2"/>
    <w:rsid w:val="00B0227E"/>
    <w:rsid w:val="00B03B06"/>
    <w:rsid w:val="00B04254"/>
    <w:rsid w:val="00B04FC1"/>
    <w:rsid w:val="00B05CA9"/>
    <w:rsid w:val="00B10610"/>
    <w:rsid w:val="00B112ED"/>
    <w:rsid w:val="00B1153F"/>
    <w:rsid w:val="00B12E17"/>
    <w:rsid w:val="00B1385E"/>
    <w:rsid w:val="00B20E88"/>
    <w:rsid w:val="00B23EC9"/>
    <w:rsid w:val="00B35300"/>
    <w:rsid w:val="00B35F20"/>
    <w:rsid w:val="00B443BA"/>
    <w:rsid w:val="00B47AEE"/>
    <w:rsid w:val="00B51B07"/>
    <w:rsid w:val="00B53D74"/>
    <w:rsid w:val="00B559B4"/>
    <w:rsid w:val="00B655B6"/>
    <w:rsid w:val="00B6662E"/>
    <w:rsid w:val="00B82128"/>
    <w:rsid w:val="00B83056"/>
    <w:rsid w:val="00BA0536"/>
    <w:rsid w:val="00BA13C3"/>
    <w:rsid w:val="00BA5256"/>
    <w:rsid w:val="00BB6A08"/>
    <w:rsid w:val="00BC190D"/>
    <w:rsid w:val="00BC1D8D"/>
    <w:rsid w:val="00BC2911"/>
    <w:rsid w:val="00BC7189"/>
    <w:rsid w:val="00BD0FA0"/>
    <w:rsid w:val="00BD27F8"/>
    <w:rsid w:val="00BD41CF"/>
    <w:rsid w:val="00BD4BA4"/>
    <w:rsid w:val="00BD5B73"/>
    <w:rsid w:val="00BD6F80"/>
    <w:rsid w:val="00BE1985"/>
    <w:rsid w:val="00BE443D"/>
    <w:rsid w:val="00BF3971"/>
    <w:rsid w:val="00BF6554"/>
    <w:rsid w:val="00BF6886"/>
    <w:rsid w:val="00C05F21"/>
    <w:rsid w:val="00C14F41"/>
    <w:rsid w:val="00C205B8"/>
    <w:rsid w:val="00C227C3"/>
    <w:rsid w:val="00C27C00"/>
    <w:rsid w:val="00C33530"/>
    <w:rsid w:val="00C35AC4"/>
    <w:rsid w:val="00C35B1F"/>
    <w:rsid w:val="00C47520"/>
    <w:rsid w:val="00C50429"/>
    <w:rsid w:val="00C51671"/>
    <w:rsid w:val="00C51865"/>
    <w:rsid w:val="00C65956"/>
    <w:rsid w:val="00C66F67"/>
    <w:rsid w:val="00C76A55"/>
    <w:rsid w:val="00C81C7D"/>
    <w:rsid w:val="00C8281D"/>
    <w:rsid w:val="00C836A2"/>
    <w:rsid w:val="00C83FAB"/>
    <w:rsid w:val="00C87429"/>
    <w:rsid w:val="00C9101B"/>
    <w:rsid w:val="00C91ACD"/>
    <w:rsid w:val="00C94FD4"/>
    <w:rsid w:val="00C96836"/>
    <w:rsid w:val="00CA1EB9"/>
    <w:rsid w:val="00CA63E2"/>
    <w:rsid w:val="00CB7847"/>
    <w:rsid w:val="00CC06C6"/>
    <w:rsid w:val="00CC10C2"/>
    <w:rsid w:val="00CC23C8"/>
    <w:rsid w:val="00CC250D"/>
    <w:rsid w:val="00CC2837"/>
    <w:rsid w:val="00CC546A"/>
    <w:rsid w:val="00CC5D0C"/>
    <w:rsid w:val="00CC7807"/>
    <w:rsid w:val="00CD0A07"/>
    <w:rsid w:val="00CD1B6A"/>
    <w:rsid w:val="00CD5497"/>
    <w:rsid w:val="00CE1416"/>
    <w:rsid w:val="00CE2080"/>
    <w:rsid w:val="00CE27E9"/>
    <w:rsid w:val="00CE2E68"/>
    <w:rsid w:val="00CE588A"/>
    <w:rsid w:val="00CF235A"/>
    <w:rsid w:val="00CF2ED5"/>
    <w:rsid w:val="00CF4301"/>
    <w:rsid w:val="00CF6764"/>
    <w:rsid w:val="00CF6C0F"/>
    <w:rsid w:val="00D04ED6"/>
    <w:rsid w:val="00D0543B"/>
    <w:rsid w:val="00D05971"/>
    <w:rsid w:val="00D06BC6"/>
    <w:rsid w:val="00D16323"/>
    <w:rsid w:val="00D163D7"/>
    <w:rsid w:val="00D2217E"/>
    <w:rsid w:val="00D255FB"/>
    <w:rsid w:val="00D25882"/>
    <w:rsid w:val="00D311FF"/>
    <w:rsid w:val="00D3706E"/>
    <w:rsid w:val="00D37116"/>
    <w:rsid w:val="00D479C8"/>
    <w:rsid w:val="00D5350E"/>
    <w:rsid w:val="00D5593C"/>
    <w:rsid w:val="00D56954"/>
    <w:rsid w:val="00D6259F"/>
    <w:rsid w:val="00D625B1"/>
    <w:rsid w:val="00D62D75"/>
    <w:rsid w:val="00D63210"/>
    <w:rsid w:val="00D6441A"/>
    <w:rsid w:val="00D67483"/>
    <w:rsid w:val="00D71D94"/>
    <w:rsid w:val="00D71F45"/>
    <w:rsid w:val="00D73DAD"/>
    <w:rsid w:val="00D75B36"/>
    <w:rsid w:val="00D75D1A"/>
    <w:rsid w:val="00D81655"/>
    <w:rsid w:val="00D8237C"/>
    <w:rsid w:val="00D83547"/>
    <w:rsid w:val="00D864AF"/>
    <w:rsid w:val="00D90995"/>
    <w:rsid w:val="00D938AA"/>
    <w:rsid w:val="00D9631B"/>
    <w:rsid w:val="00DA1F8E"/>
    <w:rsid w:val="00DB1454"/>
    <w:rsid w:val="00DB195A"/>
    <w:rsid w:val="00DB3112"/>
    <w:rsid w:val="00DD2913"/>
    <w:rsid w:val="00DE29DA"/>
    <w:rsid w:val="00DE6689"/>
    <w:rsid w:val="00DF066E"/>
    <w:rsid w:val="00DF4287"/>
    <w:rsid w:val="00DF42A5"/>
    <w:rsid w:val="00DF4A5E"/>
    <w:rsid w:val="00DF7F1D"/>
    <w:rsid w:val="00E05EFB"/>
    <w:rsid w:val="00E06C09"/>
    <w:rsid w:val="00E1015E"/>
    <w:rsid w:val="00E11441"/>
    <w:rsid w:val="00E129EA"/>
    <w:rsid w:val="00E13F52"/>
    <w:rsid w:val="00E15FCA"/>
    <w:rsid w:val="00E17BAC"/>
    <w:rsid w:val="00E233E0"/>
    <w:rsid w:val="00E25E30"/>
    <w:rsid w:val="00E25F61"/>
    <w:rsid w:val="00E2749C"/>
    <w:rsid w:val="00E31417"/>
    <w:rsid w:val="00E325D2"/>
    <w:rsid w:val="00E3467E"/>
    <w:rsid w:val="00E3779F"/>
    <w:rsid w:val="00E42C92"/>
    <w:rsid w:val="00E45B46"/>
    <w:rsid w:val="00E47C77"/>
    <w:rsid w:val="00E500FE"/>
    <w:rsid w:val="00E56F7F"/>
    <w:rsid w:val="00E66799"/>
    <w:rsid w:val="00E7030E"/>
    <w:rsid w:val="00E75E49"/>
    <w:rsid w:val="00E8097E"/>
    <w:rsid w:val="00E81B22"/>
    <w:rsid w:val="00E85B68"/>
    <w:rsid w:val="00E87674"/>
    <w:rsid w:val="00E90EF2"/>
    <w:rsid w:val="00E94FDF"/>
    <w:rsid w:val="00E96158"/>
    <w:rsid w:val="00E96C44"/>
    <w:rsid w:val="00EA0FD5"/>
    <w:rsid w:val="00EA5A23"/>
    <w:rsid w:val="00EA5DCB"/>
    <w:rsid w:val="00EA5E2C"/>
    <w:rsid w:val="00EB0BAB"/>
    <w:rsid w:val="00EB1E4A"/>
    <w:rsid w:val="00EB3581"/>
    <w:rsid w:val="00EC276C"/>
    <w:rsid w:val="00EC3404"/>
    <w:rsid w:val="00EC576E"/>
    <w:rsid w:val="00EC64C4"/>
    <w:rsid w:val="00EC7474"/>
    <w:rsid w:val="00EC7E09"/>
    <w:rsid w:val="00EC7E6B"/>
    <w:rsid w:val="00ED13D5"/>
    <w:rsid w:val="00ED409D"/>
    <w:rsid w:val="00EE13C4"/>
    <w:rsid w:val="00EE5504"/>
    <w:rsid w:val="00EE72D8"/>
    <w:rsid w:val="00EF0421"/>
    <w:rsid w:val="00EF06C8"/>
    <w:rsid w:val="00EF42EC"/>
    <w:rsid w:val="00EF4354"/>
    <w:rsid w:val="00EF4538"/>
    <w:rsid w:val="00EF6D15"/>
    <w:rsid w:val="00F01486"/>
    <w:rsid w:val="00F029BC"/>
    <w:rsid w:val="00F02B50"/>
    <w:rsid w:val="00F10175"/>
    <w:rsid w:val="00F111B5"/>
    <w:rsid w:val="00F1226E"/>
    <w:rsid w:val="00F12465"/>
    <w:rsid w:val="00F14905"/>
    <w:rsid w:val="00F15818"/>
    <w:rsid w:val="00F16A1F"/>
    <w:rsid w:val="00F16F84"/>
    <w:rsid w:val="00F17CED"/>
    <w:rsid w:val="00F259F8"/>
    <w:rsid w:val="00F310B9"/>
    <w:rsid w:val="00F32005"/>
    <w:rsid w:val="00F32318"/>
    <w:rsid w:val="00F35E7D"/>
    <w:rsid w:val="00F362DE"/>
    <w:rsid w:val="00F37041"/>
    <w:rsid w:val="00F45AA6"/>
    <w:rsid w:val="00F46BE9"/>
    <w:rsid w:val="00F479BA"/>
    <w:rsid w:val="00F557AB"/>
    <w:rsid w:val="00F7140D"/>
    <w:rsid w:val="00F723F5"/>
    <w:rsid w:val="00F75AA1"/>
    <w:rsid w:val="00F76EEC"/>
    <w:rsid w:val="00F813C2"/>
    <w:rsid w:val="00F82ECA"/>
    <w:rsid w:val="00F849AF"/>
    <w:rsid w:val="00F87E43"/>
    <w:rsid w:val="00F90C81"/>
    <w:rsid w:val="00F91DF2"/>
    <w:rsid w:val="00F92466"/>
    <w:rsid w:val="00F9297E"/>
    <w:rsid w:val="00F9314D"/>
    <w:rsid w:val="00F96DF2"/>
    <w:rsid w:val="00F97860"/>
    <w:rsid w:val="00FA0067"/>
    <w:rsid w:val="00FA0310"/>
    <w:rsid w:val="00FA2B55"/>
    <w:rsid w:val="00FA39C8"/>
    <w:rsid w:val="00FA4A79"/>
    <w:rsid w:val="00FA4F1B"/>
    <w:rsid w:val="00FB0DCD"/>
    <w:rsid w:val="00FB180A"/>
    <w:rsid w:val="00FB5DDA"/>
    <w:rsid w:val="00FB71E0"/>
    <w:rsid w:val="00FB7500"/>
    <w:rsid w:val="00FC3F57"/>
    <w:rsid w:val="00FC5665"/>
    <w:rsid w:val="00FC643E"/>
    <w:rsid w:val="00FD026C"/>
    <w:rsid w:val="00FD1210"/>
    <w:rsid w:val="00FD4C57"/>
    <w:rsid w:val="00FE1BAB"/>
    <w:rsid w:val="00FE20B6"/>
    <w:rsid w:val="00FE354D"/>
    <w:rsid w:val="00FF679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2EF81"/>
  <w15:chartTrackingRefBased/>
  <w15:docId w15:val="{25128E7D-84CE-40A2-8D15-348CFB415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F235A"/>
    <w:pPr>
      <w:spacing w:after="0" w:line="320" w:lineRule="atLeast"/>
    </w:pPr>
    <w:rPr>
      <w:rFonts w:ascii="Sennheiser Office" w:hAnsi="Sennheiser Office"/>
      <w:sz w:val="20"/>
      <w:lang w:val="en-GB"/>
    </w:rPr>
  </w:style>
  <w:style w:type="paragraph" w:styleId="berschrift1">
    <w:name w:val="heading 1"/>
    <w:basedOn w:val="Standard"/>
    <w:next w:val="Standard"/>
    <w:link w:val="berschrift1Zchn"/>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KopfzeileZchn">
    <w:name w:val="Kopfzeile Zchn"/>
    <w:basedOn w:val="Absatz-Standardschriftart"/>
    <w:link w:val="Kopfzeile"/>
    <w:uiPriority w:val="99"/>
    <w:rsid w:val="00AA2214"/>
    <w:rPr>
      <w:rFonts w:ascii="Sennheiser Office" w:hAnsi="Sennheiser Office"/>
      <w:b/>
      <w:color w:val="000000" w:themeColor="text1"/>
      <w:sz w:val="20"/>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Standard"/>
    <w:qFormat/>
    <w:rsid w:val="00FB5DDA"/>
    <w:pPr>
      <w:spacing w:before="180" w:after="180" w:line="240" w:lineRule="auto"/>
    </w:pPr>
    <w:rPr>
      <w:noProof/>
    </w:rPr>
  </w:style>
  <w:style w:type="character" w:styleId="Fett">
    <w:name w:val="Strong"/>
    <w:basedOn w:val="Absatz-Standardschriftart"/>
    <w:uiPriority w:val="22"/>
    <w:qFormat/>
    <w:rsid w:val="00150ACA"/>
    <w:rPr>
      <w:b/>
      <w:bCs/>
    </w:rPr>
  </w:style>
  <w:style w:type="character" w:customStyle="1" w:styleId="berschrift1Zchn">
    <w:name w:val="Überschrift 1 Zchn"/>
    <w:basedOn w:val="Absatz-Standardschriftart"/>
    <w:link w:val="berschrift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Absatz-Standardschriftart"/>
    <w:uiPriority w:val="1"/>
    <w:qFormat/>
    <w:rsid w:val="00D71D94"/>
    <w:rPr>
      <w:bCs/>
      <w:color w:val="0095D5" w:themeColor="accent1"/>
      <w:lang w:val="de-DE"/>
    </w:rPr>
  </w:style>
  <w:style w:type="paragraph" w:customStyle="1" w:styleId="Bildunterschrift">
    <w:name w:val="Bildunterschrift"/>
    <w:basedOn w:val="Standard"/>
    <w:qFormat/>
    <w:rsid w:val="00E7030E"/>
    <w:pPr>
      <w:spacing w:line="208" w:lineRule="atLeast"/>
    </w:pPr>
    <w:rPr>
      <w:sz w:val="16"/>
    </w:rPr>
  </w:style>
  <w:style w:type="paragraph" w:customStyle="1" w:styleId="Presscontact">
    <w:name w:val="Press contact"/>
    <w:basedOn w:val="Standard"/>
    <w:qFormat/>
    <w:rsid w:val="00EA5A23"/>
    <w:pPr>
      <w:spacing w:line="220" w:lineRule="atLeast"/>
    </w:pPr>
    <w:rPr>
      <w:sz w:val="16"/>
    </w:rPr>
  </w:style>
  <w:style w:type="character" w:styleId="Kommentarzeichen">
    <w:name w:val="annotation reference"/>
    <w:basedOn w:val="Absatz-Standardschriftart"/>
    <w:uiPriority w:val="99"/>
    <w:semiHidden/>
    <w:unhideWhenUsed/>
    <w:rsid w:val="002C42CB"/>
    <w:rPr>
      <w:sz w:val="16"/>
      <w:szCs w:val="16"/>
    </w:rPr>
  </w:style>
  <w:style w:type="paragraph" w:styleId="Kommentartext">
    <w:name w:val="annotation text"/>
    <w:basedOn w:val="Standard"/>
    <w:link w:val="KommentartextZchn"/>
    <w:uiPriority w:val="99"/>
    <w:unhideWhenUsed/>
    <w:rsid w:val="002C42CB"/>
    <w:pPr>
      <w:spacing w:line="240" w:lineRule="auto"/>
    </w:pPr>
    <w:rPr>
      <w:szCs w:val="20"/>
    </w:rPr>
  </w:style>
  <w:style w:type="character" w:customStyle="1" w:styleId="KommentartextZchn">
    <w:name w:val="Kommentartext Zchn"/>
    <w:basedOn w:val="Absatz-Standardschriftart"/>
    <w:link w:val="Kommentartext"/>
    <w:uiPriority w:val="99"/>
    <w:rsid w:val="002C42CB"/>
    <w:rPr>
      <w:rFonts w:ascii="Sennheiser Office" w:hAnsi="Sennheiser Office"/>
      <w:sz w:val="20"/>
      <w:szCs w:val="20"/>
      <w:lang w:val="en-GB"/>
    </w:rPr>
  </w:style>
  <w:style w:type="paragraph" w:styleId="Kommentarthema">
    <w:name w:val="annotation subject"/>
    <w:basedOn w:val="Kommentartext"/>
    <w:next w:val="Kommentartext"/>
    <w:link w:val="KommentarthemaZchn"/>
    <w:uiPriority w:val="99"/>
    <w:semiHidden/>
    <w:unhideWhenUsed/>
    <w:rsid w:val="002C42CB"/>
    <w:rPr>
      <w:b/>
      <w:bCs/>
    </w:rPr>
  </w:style>
  <w:style w:type="character" w:customStyle="1" w:styleId="KommentarthemaZchn">
    <w:name w:val="Kommentarthema Zchn"/>
    <w:basedOn w:val="KommentartextZchn"/>
    <w:link w:val="Kommentarthema"/>
    <w:uiPriority w:val="99"/>
    <w:semiHidden/>
    <w:rsid w:val="002C42CB"/>
    <w:rPr>
      <w:rFonts w:ascii="Sennheiser Office" w:hAnsi="Sennheiser Office"/>
      <w:b/>
      <w:bCs/>
      <w:sz w:val="20"/>
      <w:szCs w:val="20"/>
      <w:lang w:val="en-GB"/>
    </w:rPr>
  </w:style>
  <w:style w:type="paragraph" w:styleId="berarbeitung">
    <w:name w:val="Revision"/>
    <w:hidden/>
    <w:uiPriority w:val="99"/>
    <w:semiHidden/>
    <w:rsid w:val="00506DB1"/>
    <w:pPr>
      <w:spacing w:after="0" w:line="240" w:lineRule="auto"/>
    </w:pPr>
    <w:rPr>
      <w:rFonts w:ascii="Sennheiser Office" w:hAnsi="Sennheiser Office"/>
      <w:sz w:val="20"/>
      <w:lang w:val="en-GB"/>
    </w:rPr>
  </w:style>
  <w:style w:type="character" w:styleId="Hyperlink">
    <w:name w:val="Hyperlink"/>
    <w:basedOn w:val="Absatz-Standardschriftart"/>
    <w:uiPriority w:val="99"/>
    <w:unhideWhenUsed/>
    <w:rsid w:val="00177710"/>
    <w:rPr>
      <w:color w:val="000000" w:themeColor="hyperlink"/>
      <w:u w:val="single"/>
    </w:rPr>
  </w:style>
  <w:style w:type="character" w:styleId="NichtaufgelsteErwhnung">
    <w:name w:val="Unresolved Mention"/>
    <w:basedOn w:val="Absatz-Standardschriftart"/>
    <w:uiPriority w:val="99"/>
    <w:semiHidden/>
    <w:unhideWhenUsed/>
    <w:rsid w:val="00177710"/>
    <w:rPr>
      <w:color w:val="605E5C"/>
      <w:shd w:val="clear" w:color="auto" w:fill="E1DFDD"/>
    </w:rPr>
  </w:style>
  <w:style w:type="character" w:styleId="Erwhnung">
    <w:name w:val="Mention"/>
    <w:basedOn w:val="Absatz-Standardschriftart"/>
    <w:uiPriority w:val="99"/>
    <w:unhideWhenUsed/>
    <w:rsid w:val="00177710"/>
    <w:rPr>
      <w:color w:val="2B579A"/>
      <w:shd w:val="clear" w:color="auto" w:fill="E1DFDD"/>
    </w:rPr>
  </w:style>
  <w:style w:type="paragraph" w:styleId="StandardWeb">
    <w:name w:val="Normal (Web)"/>
    <w:basedOn w:val="Standard"/>
    <w:uiPriority w:val="99"/>
    <w:semiHidden/>
    <w:unhideWhenUsed/>
    <w:rsid w:val="00F0148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701920">
      <w:bodyDiv w:val="1"/>
      <w:marLeft w:val="0"/>
      <w:marRight w:val="0"/>
      <w:marTop w:val="0"/>
      <w:marBottom w:val="0"/>
      <w:divBdr>
        <w:top w:val="none" w:sz="0" w:space="0" w:color="auto"/>
        <w:left w:val="none" w:sz="0" w:space="0" w:color="auto"/>
        <w:bottom w:val="none" w:sz="0" w:space="0" w:color="auto"/>
        <w:right w:val="none" w:sz="0" w:space="0" w:color="auto"/>
      </w:divBdr>
    </w:div>
    <w:div w:id="861480296">
      <w:bodyDiv w:val="1"/>
      <w:marLeft w:val="0"/>
      <w:marRight w:val="0"/>
      <w:marTop w:val="0"/>
      <w:marBottom w:val="0"/>
      <w:divBdr>
        <w:top w:val="none" w:sz="0" w:space="0" w:color="auto"/>
        <w:left w:val="none" w:sz="0" w:space="0" w:color="auto"/>
        <w:bottom w:val="none" w:sz="0" w:space="0" w:color="auto"/>
        <w:right w:val="none" w:sz="0" w:space="0" w:color="auto"/>
      </w:divBdr>
    </w:div>
    <w:div w:id="1284459774">
      <w:bodyDiv w:val="1"/>
      <w:marLeft w:val="0"/>
      <w:marRight w:val="0"/>
      <w:marTop w:val="0"/>
      <w:marBottom w:val="0"/>
      <w:divBdr>
        <w:top w:val="none" w:sz="0" w:space="0" w:color="auto"/>
        <w:left w:val="none" w:sz="0" w:space="0" w:color="auto"/>
        <w:bottom w:val="none" w:sz="0" w:space="0" w:color="auto"/>
        <w:right w:val="none" w:sz="0" w:space="0" w:color="auto"/>
      </w:divBdr>
    </w:div>
    <w:div w:id="1339232615">
      <w:bodyDiv w:val="1"/>
      <w:marLeft w:val="0"/>
      <w:marRight w:val="0"/>
      <w:marTop w:val="0"/>
      <w:marBottom w:val="0"/>
      <w:divBdr>
        <w:top w:val="none" w:sz="0" w:space="0" w:color="auto"/>
        <w:left w:val="none" w:sz="0" w:space="0" w:color="auto"/>
        <w:bottom w:val="none" w:sz="0" w:space="0" w:color="auto"/>
        <w:right w:val="none" w:sz="0" w:space="0" w:color="auto"/>
      </w:divBdr>
    </w:div>
    <w:div w:id="1512572313">
      <w:bodyDiv w:val="1"/>
      <w:marLeft w:val="0"/>
      <w:marRight w:val="0"/>
      <w:marTop w:val="0"/>
      <w:marBottom w:val="0"/>
      <w:divBdr>
        <w:top w:val="none" w:sz="0" w:space="0" w:color="auto"/>
        <w:left w:val="none" w:sz="0" w:space="0" w:color="auto"/>
        <w:bottom w:val="none" w:sz="0" w:space="0" w:color="auto"/>
        <w:right w:val="none" w:sz="0" w:space="0" w:color="auto"/>
      </w:divBdr>
    </w:div>
    <w:div w:id="1537766817">
      <w:bodyDiv w:val="1"/>
      <w:marLeft w:val="0"/>
      <w:marRight w:val="0"/>
      <w:marTop w:val="0"/>
      <w:marBottom w:val="0"/>
      <w:divBdr>
        <w:top w:val="none" w:sz="0" w:space="0" w:color="auto"/>
        <w:left w:val="none" w:sz="0" w:space="0" w:color="auto"/>
        <w:bottom w:val="none" w:sz="0" w:space="0" w:color="auto"/>
        <w:right w:val="none" w:sz="0" w:space="0" w:color="auto"/>
      </w:divBdr>
    </w:div>
    <w:div w:id="2012952823">
      <w:bodyDiv w:val="1"/>
      <w:marLeft w:val="0"/>
      <w:marRight w:val="0"/>
      <w:marTop w:val="0"/>
      <w:marBottom w:val="0"/>
      <w:divBdr>
        <w:top w:val="none" w:sz="0" w:space="0" w:color="auto"/>
        <w:left w:val="none" w:sz="0" w:space="0" w:color="auto"/>
        <w:bottom w:val="none" w:sz="0" w:space="0" w:color="auto"/>
        <w:right w:val="none" w:sz="0" w:space="0" w:color="auto"/>
      </w:divBdr>
    </w:div>
    <w:div w:id="201499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merging.com/"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rotect-eu.mimecast.com/s/hW3dCm2oZUjNQA8YSDwLrJ?domain=neumann.com"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protect-eu.mimecast.com/s/lUszCgxgJHAZzmKWSo3cGI?domain=sennheiser.com"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footer3.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3c8358ee3cbe34938139a7020520d22">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9765279c7d0a4a92b7987ded54074367"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927783-E3B1-4022-9AC7-8DF6F5C5705C}">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2.xml><?xml version="1.0" encoding="utf-8"?>
<ds:datastoreItem xmlns:ds="http://schemas.openxmlformats.org/officeDocument/2006/customXml" ds:itemID="{8F954C74-7DE6-4382-BBFC-8F59450D94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4.xml><?xml version="1.0" encoding="utf-8"?>
<ds:datastoreItem xmlns:ds="http://schemas.openxmlformats.org/officeDocument/2006/customXml" ds:itemID="{64588A0A-6858-4728-919A-B37D98E41B43}">
  <ds:schemaRefs>
    <ds:schemaRef ds:uri="http://schemas.microsoft.com/sharepoint/v3/contenttype/forms"/>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1147</Words>
  <Characters>7229</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Letter</vt:lpstr>
    </vt:vector>
  </TitlesOfParts>
  <Company>Sennheiser electronic GmbH &amp; Co. KG</Company>
  <LinksUpToDate>false</LinksUpToDate>
  <CharactersWithSpaces>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Oer, Mareike</dc:creator>
  <cp:keywords>, docId:5B96EC32421B8AD9170174328D73AB51</cp:keywords>
  <dc:description/>
  <cp:lastModifiedBy>Alexandra Darscht (Omnicom)</cp:lastModifiedBy>
  <cp:revision>184</cp:revision>
  <cp:lastPrinted>2025-06-19T00:00:00Z</cp:lastPrinted>
  <dcterms:created xsi:type="dcterms:W3CDTF">2026-05-23T03:58:00Z</dcterms:created>
  <dcterms:modified xsi:type="dcterms:W3CDTF">2026-06-11T07:25:00Z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7b3b1283,900677b,5c1bcaa7</vt:lpwstr>
  </property>
  <property fmtid="{D5CDD505-2E9C-101B-9397-08002B2CF9AE}" pid="3" name="ClassificationContentMarkingFooterFontProps">
    <vt:lpwstr>#000000,10,Calibri</vt:lpwstr>
  </property>
  <property fmtid="{D5CDD505-2E9C-101B-9397-08002B2CF9AE}" pid="4" name="ClassificationContentMarkingFooterText">
    <vt:lpwstr>Confidential - Not for Public Consumption or Distribution</vt:lpwstr>
  </property>
  <property fmtid="{D5CDD505-2E9C-101B-9397-08002B2CF9AE}" pid="5" name="MSIP_Label_8e19d756-792e-42a1-bcad-4cb9051ddd2d_Enabled">
    <vt:lpwstr>true</vt:lpwstr>
  </property>
  <property fmtid="{D5CDD505-2E9C-101B-9397-08002B2CF9AE}" pid="6" name="MSIP_Label_8e19d756-792e-42a1-bcad-4cb9051ddd2d_SetDate">
    <vt:lpwstr>2025-05-16T19:52:35Z</vt:lpwstr>
  </property>
  <property fmtid="{D5CDD505-2E9C-101B-9397-08002B2CF9AE}" pid="7" name="MSIP_Label_8e19d756-792e-42a1-bcad-4cb9051ddd2d_Method">
    <vt:lpwstr>Standard</vt:lpwstr>
  </property>
  <property fmtid="{D5CDD505-2E9C-101B-9397-08002B2CF9AE}" pid="8" name="MSIP_Label_8e19d756-792e-42a1-bcad-4cb9051ddd2d_Name">
    <vt:lpwstr>Confidential</vt:lpwstr>
  </property>
  <property fmtid="{D5CDD505-2E9C-101B-9397-08002B2CF9AE}" pid="9" name="MSIP_Label_8e19d756-792e-42a1-bcad-4cb9051ddd2d_SiteId">
    <vt:lpwstr>41eb501a-f671-4ce0-a5bf-b64168c3705f</vt:lpwstr>
  </property>
  <property fmtid="{D5CDD505-2E9C-101B-9397-08002B2CF9AE}" pid="10" name="MSIP_Label_8e19d756-792e-42a1-bcad-4cb9051ddd2d_ActionId">
    <vt:lpwstr>d2d969f6-7e8f-46d5-9249-24589afdaba9</vt:lpwstr>
  </property>
  <property fmtid="{D5CDD505-2E9C-101B-9397-08002B2CF9AE}" pid="11" name="MSIP_Label_8e19d756-792e-42a1-bcad-4cb9051ddd2d_ContentBits">
    <vt:lpwstr>2</vt:lpwstr>
  </property>
  <property fmtid="{D5CDD505-2E9C-101B-9397-08002B2CF9AE}" pid="12" name="MSIP_Label_8e19d756-792e-42a1-bcad-4cb9051ddd2d_Tag">
    <vt:lpwstr>10, 3, 0, 1</vt:lpwstr>
  </property>
  <property fmtid="{D5CDD505-2E9C-101B-9397-08002B2CF9AE}" pid="13" name="MediaServiceImageTags">
    <vt:lpwstr/>
  </property>
  <property fmtid="{D5CDD505-2E9C-101B-9397-08002B2CF9AE}" pid="14" name="ContentTypeId">
    <vt:lpwstr>0x01010053721C8A722B11469633187C8A29FA86</vt:lpwstr>
  </property>
</Properties>
</file>